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07910844e674f3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34057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PSIHIJATRIJSKA BOLNICA UGLJAN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9.707.352,52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11.219.492,46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10.649.167,36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11.909.460,41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941.814,84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689.967,95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491.205,95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871.451,53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489.929,61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871.431,35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130.414,26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132.921,32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1.562.158,71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1.694.320,62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108,5</w:t>
            </w:r>
          </w:p>
        </w:tc>
      </w:tr>
    </w:tbl>
    <w:p>
      <w:pPr>
        <w:spacing w:before="0" w:after="0"/>
      </w:pPr>
    </w:p>
    <w:p>
      <w:r>
        <w:t xml:space="preserve">Ukupno ostvareni prihodi poslovanja iznose 11.219.492,46 €. Ostvareni prihodi poslovanja su značajno veći od prethodnog razdoblja. Povećane su Tekuće pomoći proračunskim korisnicima (6361) za 273.718,48 € - ovi prihodi se odnose na prihode za liječenje sudskih pacijenata (čiji je broj povećan u odnosu na prethodnu godinu), te socijalni smještaj putem Ministarstva socijale za koje značajno povećana cijena smještaja. Kapitalne pomoći iz EU (6382) ostvarene su kroz program 581 Mehanizam za oporavak i otpornost, a utrošeni su na izradu glavnih i izvedbenih projekata nove Bolnice Ugljan.</w:t>
      </w:r>
    </w:p>
    <w:p>
      <w:r>
        <w:t xml:space="preserve">Također su za 8% povećani prihodi od HZZO-a na temelju ugovornih obveza, a iz razloga povećanja cijena usluga zbog povećanja plaća. Navedene cijene liječenja ležećih kroničnih prihijatrijskih pacijenata i dalje nisu realne za podmirenje svih troškova poslovanja, te Bolnica ne može doseći ugovoreni paušal. Također je zbog sve veće uspješnosti u liječenju smanjen prosječan broj liječenih pacijenata s nekadašnjih 320 na 307 što utječe na fakturirani iznos. </w:t>
      </w:r>
    </w:p>
    <w:p>
      <w:r>
        <w:t xml:space="preserve">Ukupno ostvareni rashodi poslovanja iznose 11.909.460,41 € što je za 11,8 % više u odnosu na prethodnu godinu. Najveće povećanje rashoda je zbog povećanja brutto plaća (ukupno 13,5 %). Materijalni rashodi povećani su za 7,8 %. Rashodi za materijal i energiju su na razini prethodne godine, a zbog dokupa snage električne energije, te prelaska s niskog napona na srednji napon puštanjem u rad nove trafostanice su povećani izdaci za usluge za 20 % (naknada za energetsku uslugu koja iznosi jednokratno 100.564,78 €). Također treba napomenuti da na sve troškove utječe inflacija.</w:t>
      </w:r>
    </w:p>
    <w:p>
      <w:r>
        <w:t xml:space="preserve"> Zbog svega navedenog ostvaren je manjak poslovanja od 689.967,95 €.</w:t>
      </w:r>
    </w:p>
    <w:p>
      <w:r>
        <w:t xml:space="preserve">Manjak prihoda od nefinancijske imovine financira se iz decentraliziranih sredstava, vlastitih sredstava i EU fondova. Od značajnijih investici nabavljene su dva profesionalna stroja za pranje rublja i jedna sušilica (konto 4227), te će Bolnica od 2026. godine prstati koristiti vanjsku uslugu pranja bolničkog rublja. Također su završeni projekti izrade glavnih i izvedbenih projekta Faze A i Faze B novih bolničkih objekata, te su sredstva refundirana u ovoj godini. Ostvareni manjak iznosi 871.431,35 €.</w:t>
      </w:r>
    </w:p>
    <w:p>
      <w:r>
        <w:t xml:space="preserve">Manjak primitaka od financijske imovine u iznosu od 132.921,32 € odnosi se na otplatu kredita za izvršenu energetsku obnovu 5 zgrada u bolničkom krugu, a financira se iz decentraliziranih sredstava.</w:t>
      </w:r>
    </w:p>
    <w:p>
      <w:r>
        <w:t xml:space="preserve">Ukupan manjak poslovanja iznosi 1.694.320,62 €, a nastao zbog manje izvršenog rada prema HZZO-u. Bolnica s postojećim cijenama nije u mogućnosti isfakturirati cijeli paušal, te se tako stvara manjak poslovanja.</w:t>
      </w:r>
    </w:p>
    <w:p>
      <w:r>
        <w:t xml:space="preserve">Ukupno je u bolnici na kraju godine zaposleno 309 zaposlenih. Prosječan broj zaposlenih na kraju razdoblja je 299, dok je prosječan broj zaposlenih na osnovi sati rada 277. Od ukupnog broja zaposlenih na 31.12. 180 je zdravstvena djelatnika, te 129 nezdravstvenih.</w:t>
      </w:r>
    </w:p>
    <w:p>
      <w:r>
        <w:t xml:space="preserve">U 2025. godini je s HZZO-om ugovoreno 460 kreveta. Prosiječno je dnevno liječeno 309 pacijenata, te je popunjenost ugovorenih kreveta iznosila 67,32 %. U dnevnoj bolnici je ugovoreno 30 stolica. Prosječno je u dnevnoj bolnici liječeno 23 pacijenata. Ukupno je 716 bolesnika ostvarilo 117.992 bolnička dana u stacionarnoj zdravstvenoj zaštiti, te je kroz dnevnu bolnicu prošao 124 pacijent koji su ostvarili 5.638 bolničkih dana. U polikliničko-konzilijarnoj zdravstvenoj zaštiti je bilo 9.116 slučajeva koji su ostvarili 31.003 usluga. Prosjek usluga po bolesniku iznosio je 3,40.</w:t>
      </w:r>
    </w:p>
    <w:p>
      <w:r>
        <w:t xml:space="preserve">U 2025. godini poslovanje Bolnice je bilo financijski stabilno. Zbog isplate kompletnog paušala Bolnica je u mogućnosti redovito plaćati svoje financijske obveze, te nema većih dugovanja. Opremljena je vlastita praonica rublja, te je u pogon stavljena nova trafostanica za sigurnost opskrbe električne energije. Također su potpisani ugovori za ugradnju fotonaponske elektrane i obnovu 3 centralne zgrade za smještaj pacijenata putem programa ENERGIJA OTOKA, za što je osigurano 6.318.474,99 € bespovratnih sredstava. Ovaj projekt trebao bi se provoditi kroz sljedeće 4 godine. </w:t>
      </w:r>
    </w:p>
    <w:p>
      <w:r>
        <w:t xml:space="preserve">Bolnica bi s postojećim paušalom i korigiranim cijenama zdravstvenih usluga mogla uravnoteženo poslovati. </w:t>
      </w:r>
    </w:p>
    <w:p>
      <w:r>
        <w:rPr>
          <w:b/>
        </w:rPr>
        <w:t xml:space="preserve">IZVANBILAČNI ZAPISI</w:t>
      </w:r>
    </w:p>
    <w:p>
      <w:r>
        <w:t xml:space="preserve">Ukupni izvanbilančni zapisi su u iznosu od 8.430.952,22 € i odnose se na:</w:t>
      </w:r>
    </w:p>
    <w:p>
      <w:r>
        <w:t xml:space="preserve"> - 1.225.979,75 € se odnosi na vrijednost usluga pruženih neosiguranim osobama, odnosno osobama kod kojih nije prepoznata osnova zdravstvenog osiguranja; </w:t>
      </w:r>
    </w:p>
    <w:p>
      <w:r>
        <w:t xml:space="preserve">-  158.048,91 € je bolesnički polog, odnosno novac pacijenata koje se nalaze na liječenju u Bolnici. Bolesnički polog se vodi na posebno izdvojenom računu. U skladu sa duhom Zakona o zaštiti osoba s duševnim smetnjama, dužni smo na postupanja koja jamče sve osobne slobode i prava naših pacijenata. Postojanjem posebnog i odvojenog računa omogućeno je elementarno pravo pacijenata na primanje mirovina i svih drugih zakonitih uplata. To su osobe koje nemaju mogućnosti samostalno odlaziti na banku i na taj način raspolagati svojim novcem. Također u bolničkom krugu ne postoji bankomat pošto poslovne banke nisu zainteresirane za postavljanje istog;</w:t>
      </w:r>
    </w:p>
    <w:p>
      <w:r>
        <w:t xml:space="preserve">-  728.448,57 € odnosi se na instrumente osiguranja plaćanja</w:t>
      </w:r>
    </w:p>
    <w:p>
      <w:r>
        <w:t xml:space="preserve">-  6.318.474,99 € odnosi se na ugovor o dodijeljenim bespovratnim sredstvima iz EU fondova (Energija otoka)</w:t>
      </w:r>
    </w:p>
    <w:p>
      <w:r>
        <w:t xml:space="preserve"> </w:t>
      </w:r>
    </w:p>
    <w:p>
      <w:r>
        <w:t xml:space="preserve"> </w:t>
      </w:r>
    </w:p>
    <w:p>
      <w:r>
        <w:t xml:space="preserve"> </w:t>
      </w:r>
    </w:p>
    <w:p>
      <w:r>
        <w:t xml:space="preserve"> </w:t>
      </w:r>
    </w:p>
    <w:p>
      <w:r>
        <w:t xml:space="preserve"> </w:t>
      </w:r>
    </w:p>
    <w:p>
      <w:r>
        <w:t xml:space="preserve"> </w:t>
      </w:r>
    </w:p>
    <w:p>
      <w:r>
        <w:t xml:space="preserve"> </w:t>
      </w:r>
    </w:p>
    <w:p>
      <w:r>
        <w:br/>
      </w:r>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582.265,03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1.331.214,62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w:t>
            </w:r>
          </w:p>
        </w:tc>
      </w:tr>
    </w:tbl>
    <w:p>
      <w:pPr>
        <w:spacing w:before="0" w:after="0"/>
      </w:pPr>
    </w:p>
    <w:p>
      <w:r>
        <w:t xml:space="preserve">Bolnica od pandemije covid-a zaprima cijeli paušal, te redovno podmiruje sve obveze. Trenutno stanje likvidnosti je dobro.</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6614,3</w:t>
            </w:r>
          </w:p>
        </w:tc>
      </w:tr>
    </w:tbl>
    <w:p>
      <w:pPr>
        <w:spacing w:before="0" w:after="0"/>
      </w:pPr>
    </w:p>
    <w:p>
      <w:r>
        <w:t xml:space="preserve">Odnosi se na uplaćene troškove budućih razdoblja (školarina, licence, pretplate za stručne časopise i HAK)</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496.421,55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ispravak vrijednosti sukladno naputku.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Bolnica redovno podmiruje svoje obveze, te je iznos nepodmirenih obveza u roku malen (odnosi se na zakašnjele račune).</w:t>
      </w:r>
    </w:p>
    <w:p/>
    <w:p>
      <w:pPr>
        <w:jc w:val="center"/>
        <w:pStyle w:val="Normal"/>
        <w:spacing w:line="240" w:lineRule="auto"/>
        <w:keepNext/>
      </w:pPr>
      <w:r>
        <w:rPr>
          <w:sz w:val="28"/>
          <w:rFonts w:ascii="Times New Roman" w:hAnsi="Times New Roman"/>
        </w:rPr>
        <w:t xml:space="preserve">Bilješka 6.</w:t>
      </w:r>
    </w:p>
    <w:p>
      <w:pPr>
        <w:jc w:val="both"/>
        <w:pStyle w:val="Normal"/>
        <w:spacing w:line="240" w:lineRule="auto"/>
      </w:pPr>
      <w:r>
        <w:rPr>
          <w:b/>
          <w:sz w:val="24"/>
          <w:rFonts w:ascii="Times New Roman" w:hAnsi="Times New Roman"/>
        </w:rPr>
        <w:t xml:space="preserve">EU izvještaj</w:t>
      </w:r>
    </w:p>
    <w:p>
      <w:r>
        <w:t xml:space="preserve">Iz izvora 581 - Mehanizam za oporavak i otpornost ostvarena su bespovratna sredstva za izradu glavnih i izvedbenih projekata izgradnje novih bolničkih objekata u iznosu od 500.866,14 €.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f8f1f6b0d984b43" /></Relationships>
</file>