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9E" w:rsidRDefault="00D6129E" w:rsidP="008C6303">
      <w:pPr>
        <w:tabs>
          <w:tab w:val="left" w:pos="2235"/>
        </w:tabs>
        <w:rPr>
          <w:b/>
          <w:i/>
        </w:rPr>
      </w:pPr>
    </w:p>
    <w:p w:rsidR="00324A51" w:rsidRPr="009D0F40" w:rsidRDefault="00660AE9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0F40">
        <w:rPr>
          <w:rFonts w:ascii="Times New Roman" w:hAnsi="Times New Roman" w:cs="Times New Roman"/>
          <w:b/>
          <w:i/>
          <w:sz w:val="28"/>
          <w:szCs w:val="28"/>
        </w:rPr>
        <w:t>PSIHIJATRIJSKA BOLNICA UGLJAN</w:t>
      </w:r>
    </w:p>
    <w:p w:rsidR="00324A51" w:rsidRPr="009D0F40" w:rsidRDefault="00324A51" w:rsidP="00660AE9">
      <w:pPr>
        <w:tabs>
          <w:tab w:val="left" w:pos="2235"/>
        </w:tabs>
        <w:rPr>
          <w:rFonts w:ascii="Times New Roman" w:hAnsi="Times New Roman" w:cs="Times New Roman"/>
          <w:b/>
          <w:i/>
          <w:sz w:val="24"/>
        </w:rPr>
      </w:pPr>
    </w:p>
    <w:p w:rsidR="00324A51" w:rsidRPr="009D0F40" w:rsidRDefault="00324A51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24"/>
        </w:rPr>
      </w:pPr>
    </w:p>
    <w:p w:rsidR="00324A51" w:rsidRPr="009D0F40" w:rsidRDefault="00324A51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24"/>
        </w:rPr>
      </w:pPr>
    </w:p>
    <w:p w:rsidR="00324A51" w:rsidRPr="009D0F40" w:rsidRDefault="00324A51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</w:rPr>
      </w:pPr>
    </w:p>
    <w:p w:rsidR="00324A51" w:rsidRPr="009D0F40" w:rsidRDefault="00324A51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</w:rPr>
      </w:pPr>
    </w:p>
    <w:p w:rsidR="00324A51" w:rsidRPr="009D0F40" w:rsidRDefault="00324A51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</w:rPr>
      </w:pPr>
    </w:p>
    <w:p w:rsidR="00324A51" w:rsidRPr="009D0F40" w:rsidRDefault="00324A51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</w:rPr>
      </w:pPr>
    </w:p>
    <w:p w:rsidR="00324A51" w:rsidRPr="009D0F40" w:rsidRDefault="00324A51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</w:rPr>
      </w:pPr>
    </w:p>
    <w:p w:rsidR="00D6129E" w:rsidRPr="009D0F40" w:rsidRDefault="00D6129E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32"/>
        </w:rPr>
      </w:pPr>
      <w:r w:rsidRPr="009D0F40">
        <w:rPr>
          <w:rFonts w:ascii="Times New Roman" w:hAnsi="Times New Roman" w:cs="Times New Roman"/>
          <w:b/>
          <w:i/>
          <w:sz w:val="32"/>
        </w:rPr>
        <w:t xml:space="preserve">Obrazloženje </w:t>
      </w:r>
    </w:p>
    <w:p w:rsidR="00D6129E" w:rsidRPr="009D0F40" w:rsidRDefault="00393666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32"/>
        </w:rPr>
      </w:pPr>
      <w:r w:rsidRPr="009D0F40">
        <w:rPr>
          <w:rFonts w:ascii="Times New Roman" w:hAnsi="Times New Roman" w:cs="Times New Roman"/>
          <w:b/>
          <w:i/>
          <w:sz w:val="32"/>
        </w:rPr>
        <w:t>GODIŠNJ</w:t>
      </w:r>
      <w:r w:rsidR="00D6129E" w:rsidRPr="009D0F40">
        <w:rPr>
          <w:rFonts w:ascii="Times New Roman" w:hAnsi="Times New Roman" w:cs="Times New Roman"/>
          <w:b/>
          <w:i/>
          <w:sz w:val="32"/>
        </w:rPr>
        <w:t>EG</w:t>
      </w:r>
      <w:r w:rsidRPr="009D0F40">
        <w:rPr>
          <w:rFonts w:ascii="Times New Roman" w:hAnsi="Times New Roman" w:cs="Times New Roman"/>
          <w:b/>
          <w:i/>
          <w:sz w:val="32"/>
        </w:rPr>
        <w:t xml:space="preserve"> IZVJEŠTAJ</w:t>
      </w:r>
      <w:r w:rsidR="00D6129E" w:rsidRPr="009D0F40">
        <w:rPr>
          <w:rFonts w:ascii="Times New Roman" w:hAnsi="Times New Roman" w:cs="Times New Roman"/>
          <w:b/>
          <w:i/>
          <w:sz w:val="32"/>
        </w:rPr>
        <w:t>A</w:t>
      </w:r>
      <w:r w:rsidRPr="009D0F40">
        <w:rPr>
          <w:rFonts w:ascii="Times New Roman" w:hAnsi="Times New Roman" w:cs="Times New Roman"/>
          <w:b/>
          <w:i/>
          <w:sz w:val="32"/>
        </w:rPr>
        <w:t xml:space="preserve"> O IZVRŠENJU FINANCIJSKOG PLANA </w:t>
      </w:r>
    </w:p>
    <w:p w:rsidR="00393666" w:rsidRPr="009D0F40" w:rsidRDefault="00393666" w:rsidP="0060693F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32"/>
        </w:rPr>
      </w:pPr>
      <w:r w:rsidRPr="009D0F40">
        <w:rPr>
          <w:rFonts w:ascii="Times New Roman" w:hAnsi="Times New Roman" w:cs="Times New Roman"/>
          <w:b/>
          <w:i/>
          <w:sz w:val="32"/>
        </w:rPr>
        <w:t>ZA RAZDBOLJE 01.01.</w:t>
      </w:r>
      <w:r w:rsidR="001D7D20" w:rsidRPr="009D0F40">
        <w:rPr>
          <w:rFonts w:ascii="Times New Roman" w:hAnsi="Times New Roman" w:cs="Times New Roman"/>
          <w:b/>
          <w:i/>
          <w:sz w:val="32"/>
        </w:rPr>
        <w:t>202</w:t>
      </w:r>
      <w:r w:rsidR="00800C3F">
        <w:rPr>
          <w:rFonts w:ascii="Times New Roman" w:hAnsi="Times New Roman" w:cs="Times New Roman"/>
          <w:b/>
          <w:i/>
          <w:sz w:val="32"/>
        </w:rPr>
        <w:t>2</w:t>
      </w:r>
      <w:r w:rsidR="00660AE9" w:rsidRPr="009D0F40">
        <w:rPr>
          <w:rFonts w:ascii="Times New Roman" w:hAnsi="Times New Roman" w:cs="Times New Roman"/>
          <w:b/>
          <w:i/>
          <w:sz w:val="32"/>
        </w:rPr>
        <w:t>.</w:t>
      </w:r>
      <w:r w:rsidRPr="009D0F40">
        <w:rPr>
          <w:rFonts w:ascii="Times New Roman" w:hAnsi="Times New Roman" w:cs="Times New Roman"/>
          <w:b/>
          <w:i/>
          <w:sz w:val="32"/>
        </w:rPr>
        <w:t xml:space="preserve"> - 31.12.20</w:t>
      </w:r>
      <w:r w:rsidR="001D7D20" w:rsidRPr="009D0F40">
        <w:rPr>
          <w:rFonts w:ascii="Times New Roman" w:hAnsi="Times New Roman" w:cs="Times New Roman"/>
          <w:b/>
          <w:i/>
          <w:sz w:val="32"/>
        </w:rPr>
        <w:t>2</w:t>
      </w:r>
      <w:r w:rsidR="00800C3F">
        <w:rPr>
          <w:rFonts w:ascii="Times New Roman" w:hAnsi="Times New Roman" w:cs="Times New Roman"/>
          <w:b/>
          <w:i/>
          <w:sz w:val="32"/>
        </w:rPr>
        <w:t>2</w:t>
      </w:r>
      <w:r w:rsidR="00660AE9" w:rsidRPr="009D0F40">
        <w:rPr>
          <w:rFonts w:ascii="Times New Roman" w:hAnsi="Times New Roman" w:cs="Times New Roman"/>
          <w:b/>
          <w:i/>
          <w:sz w:val="32"/>
        </w:rPr>
        <w:t>.</w:t>
      </w:r>
    </w:p>
    <w:p w:rsidR="00D6129E" w:rsidRPr="009D0F40" w:rsidRDefault="00D6129E" w:rsidP="00807B8F">
      <w:pPr>
        <w:tabs>
          <w:tab w:val="left" w:pos="2235"/>
        </w:tabs>
        <w:jc w:val="center"/>
        <w:rPr>
          <w:rFonts w:ascii="Times New Roman" w:hAnsi="Times New Roman" w:cs="Times New Roman"/>
        </w:rPr>
      </w:pPr>
    </w:p>
    <w:p w:rsidR="00324A51" w:rsidRDefault="00324A51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7A05BE" w:rsidRDefault="007A05BE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4E5361" w:rsidRDefault="00324A51" w:rsidP="00324A51">
      <w:pPr>
        <w:tabs>
          <w:tab w:val="left" w:pos="2235"/>
        </w:tabs>
      </w:pPr>
      <w:r>
        <w:t xml:space="preserve">           </w:t>
      </w:r>
    </w:p>
    <w:p w:rsidR="004918F3" w:rsidRPr="009D0F40" w:rsidRDefault="00324A51" w:rsidP="00324A51">
      <w:pPr>
        <w:tabs>
          <w:tab w:val="left" w:pos="2235"/>
        </w:tabs>
        <w:rPr>
          <w:rFonts w:ascii="Times New Roman" w:hAnsi="Times New Roman" w:cs="Times New Roman"/>
        </w:rPr>
      </w:pPr>
      <w:r>
        <w:lastRenderedPageBreak/>
        <w:t xml:space="preserve">    </w:t>
      </w:r>
      <w:r w:rsidR="00393666" w:rsidRPr="009D0F40">
        <w:rPr>
          <w:rFonts w:ascii="Times New Roman" w:hAnsi="Times New Roman" w:cs="Times New Roman"/>
        </w:rPr>
        <w:t xml:space="preserve">Godišnji izvještaj o izvršenju proračuna </w:t>
      </w:r>
      <w:r w:rsidR="00660AE9" w:rsidRPr="009D0F40">
        <w:rPr>
          <w:rFonts w:ascii="Times New Roman" w:hAnsi="Times New Roman" w:cs="Times New Roman"/>
        </w:rPr>
        <w:t>Psihijatrijske bolnice Ugljan</w:t>
      </w:r>
      <w:r w:rsidR="00393666" w:rsidRPr="009D0F40">
        <w:rPr>
          <w:rFonts w:ascii="Times New Roman" w:hAnsi="Times New Roman" w:cs="Times New Roman"/>
        </w:rPr>
        <w:t xml:space="preserve"> sadrži:</w:t>
      </w:r>
    </w:p>
    <w:p w:rsidR="009D0F40" w:rsidRDefault="009D0F40" w:rsidP="00324A51">
      <w:pPr>
        <w:tabs>
          <w:tab w:val="left" w:pos="2235"/>
        </w:tabs>
      </w:pPr>
    </w:p>
    <w:p w:rsidR="009D0F40" w:rsidRPr="009D0F40" w:rsidRDefault="009D0F40" w:rsidP="009D0F40">
      <w:pPr>
        <w:tabs>
          <w:tab w:val="left" w:pos="2235"/>
        </w:tabs>
        <w:jc w:val="center"/>
        <w:rPr>
          <w:b/>
          <w:sz w:val="28"/>
          <w:szCs w:val="28"/>
        </w:rPr>
      </w:pPr>
      <w:r w:rsidRPr="009D0F40">
        <w:rPr>
          <w:b/>
          <w:sz w:val="28"/>
          <w:szCs w:val="28"/>
        </w:rPr>
        <w:t>I.</w:t>
      </w:r>
    </w:p>
    <w:p w:rsidR="009D0F40" w:rsidRPr="00393666" w:rsidRDefault="009D0F40" w:rsidP="00324A51">
      <w:pPr>
        <w:tabs>
          <w:tab w:val="left" w:pos="2235"/>
        </w:tabs>
        <w:rPr>
          <w:b/>
          <w:i/>
        </w:rPr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440"/>
        <w:gridCol w:w="3550"/>
        <w:gridCol w:w="1469"/>
        <w:gridCol w:w="1469"/>
        <w:gridCol w:w="1469"/>
        <w:gridCol w:w="991"/>
      </w:tblGrid>
      <w:tr w:rsidR="00176A5C" w:rsidRPr="00176A5C" w:rsidTr="00176A5C">
        <w:trPr>
          <w:trHeight w:val="300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A. RAČUN PRIHODA I RASHODA</w:t>
            </w:r>
          </w:p>
        </w:tc>
      </w:tr>
      <w:tr w:rsidR="00176A5C" w:rsidRPr="00176A5C" w:rsidTr="00176A5C">
        <w:trPr>
          <w:trHeight w:val="58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IZVRŠENJE 2021.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2022.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IZVRŠENJE 2022.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176A5C" w:rsidRPr="00176A5C" w:rsidTr="00176A5C">
        <w:trPr>
          <w:trHeight w:val="28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4(3/2)</w:t>
            </w:r>
          </w:p>
        </w:tc>
      </w:tr>
      <w:tr w:rsidR="00176A5C" w:rsidRPr="00176A5C" w:rsidTr="00176A5C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PRIHODI POSLOVANJA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57.224.798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68.440.994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58.556.084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85,56%</w:t>
            </w:r>
          </w:p>
        </w:tc>
      </w:tr>
      <w:tr w:rsidR="00176A5C" w:rsidRPr="00176A5C" w:rsidTr="00176A5C">
        <w:trPr>
          <w:trHeight w:val="6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17.716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13.000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12.180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93,69%</w:t>
            </w:r>
          </w:p>
        </w:tc>
      </w:tr>
      <w:tr w:rsidR="00176A5C" w:rsidRPr="00176A5C" w:rsidTr="00176A5C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PRIHODI (6+7)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57.242.514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68.453.994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58.568.264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85,56%</w:t>
            </w:r>
          </w:p>
        </w:tc>
      </w:tr>
      <w:tr w:rsidR="00176A5C" w:rsidRPr="00176A5C" w:rsidTr="00176A5C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RASHODI POSLOVANJA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54.291.962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58.627.594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57.309.953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97,75%</w:t>
            </w:r>
          </w:p>
        </w:tc>
      </w:tr>
      <w:tr w:rsidR="00176A5C" w:rsidRPr="00176A5C" w:rsidTr="00176A5C">
        <w:trPr>
          <w:trHeight w:val="6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RAHODI ZA NABAVU NEFINANCIJSKE IMOVINE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12.225.777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1.545.500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1.485.255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96,10%</w:t>
            </w:r>
          </w:p>
        </w:tc>
      </w:tr>
      <w:tr w:rsidR="00176A5C" w:rsidRPr="00176A5C" w:rsidTr="00176A5C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RASHODI (3+4)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66.517.739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60.173.094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58.795.208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97,71%</w:t>
            </w:r>
          </w:p>
        </w:tc>
      </w:tr>
      <w:tr w:rsidR="00176A5C" w:rsidRPr="00176A5C" w:rsidTr="00176A5C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RAZLIKA VIŠAK/MANJAK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-9.275.225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8.280.900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-226.944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B. RAČUN FINANCIRANJA</w:t>
            </w:r>
          </w:p>
        </w:tc>
      </w:tr>
      <w:tr w:rsidR="00176A5C" w:rsidRPr="00176A5C" w:rsidTr="00176A5C">
        <w:trPr>
          <w:trHeight w:val="58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IZVRŠENJE 2021.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2022.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IZVRŠENJE 2022.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176A5C" w:rsidRPr="00176A5C" w:rsidTr="00176A5C">
        <w:trPr>
          <w:trHeight w:val="6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5.732.282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794.857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#DIV/0!</w:t>
            </w:r>
          </w:p>
        </w:tc>
      </w:tr>
      <w:tr w:rsidR="00176A5C" w:rsidRPr="00176A5C" w:rsidTr="00176A5C">
        <w:trPr>
          <w:trHeight w:val="6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1.341.643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1.880.900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1.872.155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99,54%</w:t>
            </w:r>
          </w:p>
        </w:tc>
      </w:tr>
      <w:tr w:rsidR="00176A5C" w:rsidRPr="00176A5C" w:rsidTr="00176A5C">
        <w:trPr>
          <w:trHeight w:val="37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RAZLIKA (8-5) NETO FINANCIRANJE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4.390.639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-1.880.900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-1.077.298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C. RASPOLOŽIVA SREDSTVA IZ PRETHODNIH GODINA</w:t>
            </w:r>
          </w:p>
        </w:tc>
      </w:tr>
      <w:tr w:rsidR="00176A5C" w:rsidRPr="00176A5C" w:rsidTr="00176A5C">
        <w:trPr>
          <w:trHeight w:val="6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NAZIV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IZVRŠENJE 2021.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2022.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IZVRŠENJE 2022.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176A5C" w:rsidRPr="00176A5C" w:rsidTr="00176A5C">
        <w:trPr>
          <w:trHeight w:val="6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MANJAK PRIHODA IZ PRETHODNE GODINE (PRENESENI)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-17.457.438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-22.342.024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-22.342.024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100,00%</w:t>
            </w:r>
          </w:p>
        </w:tc>
      </w:tr>
      <w:tr w:rsidR="00176A5C" w:rsidRPr="00176A5C" w:rsidTr="00176A5C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MANJAK / VIŠAK TEKUĆE GODINE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-4.884.586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6.400.000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-1.304.242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-20,38%</w:t>
            </w:r>
          </w:p>
        </w:tc>
      </w:tr>
      <w:tr w:rsidR="00176A5C" w:rsidRPr="00176A5C" w:rsidTr="00176A5C">
        <w:trPr>
          <w:trHeight w:val="6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NEPOKRIVEN MANJAK NA KRAJU RAZDOBLJA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-22.342.024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-15.942.024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-23.646.266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148,33%</w:t>
            </w:r>
          </w:p>
        </w:tc>
      </w:tr>
      <w:tr w:rsidR="00176A5C" w:rsidRPr="00176A5C" w:rsidTr="00176A5C">
        <w:trPr>
          <w:trHeight w:val="6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DIO MANJKA IZ PRETHODNE GODINE IZ AKCIJSKOG PLANA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120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VIŠAK/MANJAK + NETO FINANCIRANJE + DIO MANJKA IZ PRETHODNE GODINE KOJI ĆE SE POKRITI IZ AKCIJSKOG PLANA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-22.342.024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-15.942.024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-23.646.266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148,33%</w:t>
            </w:r>
          </w:p>
        </w:tc>
      </w:tr>
    </w:tbl>
    <w:p w:rsidR="00324A51" w:rsidRDefault="00324A51" w:rsidP="00324A51">
      <w:pPr>
        <w:rPr>
          <w:b/>
          <w:sz w:val="28"/>
          <w:szCs w:val="28"/>
        </w:rPr>
      </w:pPr>
    </w:p>
    <w:p w:rsidR="00324A51" w:rsidRDefault="00324A51" w:rsidP="00DC2CE9">
      <w:pPr>
        <w:jc w:val="center"/>
        <w:rPr>
          <w:b/>
          <w:sz w:val="28"/>
          <w:szCs w:val="28"/>
        </w:rPr>
      </w:pPr>
    </w:p>
    <w:p w:rsidR="00F07BA1" w:rsidRDefault="00F07BA1" w:rsidP="00DC2CE9">
      <w:pPr>
        <w:jc w:val="center"/>
        <w:rPr>
          <w:b/>
          <w:sz w:val="28"/>
          <w:szCs w:val="28"/>
        </w:rPr>
      </w:pPr>
    </w:p>
    <w:p w:rsidR="00053D7F" w:rsidRPr="00DC2CE9" w:rsidRDefault="00413C4F" w:rsidP="00DC2CE9">
      <w:pPr>
        <w:jc w:val="center"/>
        <w:rPr>
          <w:sz w:val="28"/>
          <w:szCs w:val="28"/>
        </w:rPr>
      </w:pPr>
      <w:r w:rsidRPr="00413C4F">
        <w:rPr>
          <w:b/>
          <w:sz w:val="28"/>
          <w:szCs w:val="28"/>
        </w:rPr>
        <w:lastRenderedPageBreak/>
        <w:t>I</w:t>
      </w:r>
      <w:r w:rsidR="00393666" w:rsidRPr="00413C4F">
        <w:rPr>
          <w:b/>
          <w:sz w:val="28"/>
          <w:szCs w:val="28"/>
        </w:rPr>
        <w:t>I.</w:t>
      </w:r>
    </w:p>
    <w:p w:rsidR="0049633C" w:rsidRPr="009D0F40" w:rsidRDefault="00413C4F" w:rsidP="00C17C1D">
      <w:pPr>
        <w:jc w:val="both"/>
        <w:rPr>
          <w:rFonts w:ascii="Times New Roman" w:hAnsi="Times New Roman" w:cs="Times New Roman"/>
          <w:sz w:val="24"/>
        </w:rPr>
      </w:pPr>
      <w:r w:rsidRPr="009D0F40">
        <w:rPr>
          <w:rFonts w:ascii="Times New Roman" w:hAnsi="Times New Roman" w:cs="Times New Roman"/>
          <w:sz w:val="24"/>
        </w:rPr>
        <w:t xml:space="preserve">Financijski rezultat poslovanja </w:t>
      </w:r>
      <w:r w:rsidR="00660AE9" w:rsidRPr="009D0F40">
        <w:rPr>
          <w:rFonts w:ascii="Times New Roman" w:hAnsi="Times New Roman" w:cs="Times New Roman"/>
          <w:sz w:val="24"/>
        </w:rPr>
        <w:t>Psihijatrijske bolnice Ugljan</w:t>
      </w:r>
    </w:p>
    <w:p w:rsidR="00C17C1D" w:rsidRDefault="00C17C1D" w:rsidP="00586EED">
      <w:pPr>
        <w:pStyle w:val="Bezproreda"/>
        <w:jc w:val="both"/>
      </w:pPr>
      <w:r>
        <w:rPr>
          <w:noProof/>
          <w:lang w:eastAsia="hr-HR"/>
        </w:rPr>
        <w:fldChar w:fldCharType="begin"/>
      </w:r>
      <w:r>
        <w:rPr>
          <w:noProof/>
          <w:lang w:eastAsia="hr-HR"/>
        </w:rPr>
        <w:instrText xml:space="preserve"> LINK </w:instrText>
      </w:r>
      <w:r w:rsidR="00436957">
        <w:rPr>
          <w:noProof/>
          <w:lang w:eastAsia="hr-HR"/>
        </w:rPr>
        <w:instrText xml:space="preserve">Excel.Sheet.8 "G:\\stick\\izvršenje plana\\izvršenje plana 2019.xls" List1!R1C1:R24C5 </w:instrText>
      </w:r>
      <w:r>
        <w:rPr>
          <w:noProof/>
          <w:lang w:eastAsia="hr-HR"/>
        </w:rPr>
        <w:instrText xml:space="preserve">\a \f 4 \h </w:instrText>
      </w:r>
      <w:r>
        <w:rPr>
          <w:noProof/>
          <w:lang w:eastAsia="hr-HR"/>
        </w:rPr>
        <w:fldChar w:fldCharType="separate"/>
      </w:r>
    </w:p>
    <w:p w:rsidR="009D0F40" w:rsidRDefault="00C17C1D" w:rsidP="00586EED">
      <w:pPr>
        <w:pStyle w:val="Bezproreda"/>
        <w:jc w:val="both"/>
        <w:rPr>
          <w:sz w:val="24"/>
        </w:rPr>
      </w:pPr>
      <w:r>
        <w:rPr>
          <w:noProof/>
          <w:lang w:eastAsia="hr-HR"/>
        </w:rPr>
        <w:fldChar w:fldCharType="end"/>
      </w:r>
    </w:p>
    <w:tbl>
      <w:tblPr>
        <w:tblW w:w="7900" w:type="dxa"/>
        <w:tblInd w:w="93" w:type="dxa"/>
        <w:tblLook w:val="04A0" w:firstRow="1" w:lastRow="0" w:firstColumn="1" w:lastColumn="0" w:noHBand="0" w:noVBand="1"/>
      </w:tblPr>
      <w:tblGrid>
        <w:gridCol w:w="5760"/>
        <w:gridCol w:w="2140"/>
      </w:tblGrid>
      <w:tr w:rsidR="00176A5C" w:rsidRPr="00176A5C" w:rsidTr="00176A5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Prihodi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58.556.084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12.180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(ukupno)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58.568.264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57.309.953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1.485.255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(ukupno)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58.795.208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 RAZLIKA (prihodi - rashodi)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-226.944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Primici od 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794.857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Izdaci za financisku imovinu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1.872.155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 RAZLIKA (primici - izdaci)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-1.077.298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 Manjak prihoda i primitaka tekućeg razdoblja (1+2)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-1.304.242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Planirano pokriće manjka iz Akcijskog plana za tekuću godinu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Manjak prihoda i primitaka tekuće godine 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Planirano pokriće manjka iz Akcijskog plana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-1.304.242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 Preneseni manjak prihoda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-22.342.024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 Manjak prihoda raspoloživ u sljedećem razdoblju (3+4)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-23.646.266</w:t>
            </w:r>
          </w:p>
        </w:tc>
      </w:tr>
    </w:tbl>
    <w:p w:rsidR="0049633C" w:rsidRDefault="0049633C" w:rsidP="00586EED">
      <w:pPr>
        <w:pStyle w:val="Bezproreda"/>
        <w:jc w:val="both"/>
        <w:rPr>
          <w:sz w:val="24"/>
        </w:rPr>
      </w:pPr>
    </w:p>
    <w:p w:rsidR="009D0F40" w:rsidRDefault="009D0F40" w:rsidP="00586EED">
      <w:pPr>
        <w:pStyle w:val="Bezproreda"/>
        <w:jc w:val="both"/>
        <w:rPr>
          <w:sz w:val="24"/>
        </w:rPr>
      </w:pPr>
    </w:p>
    <w:p w:rsidR="0049633C" w:rsidRDefault="0049633C" w:rsidP="00586EED">
      <w:pPr>
        <w:pStyle w:val="Bezproreda"/>
        <w:jc w:val="both"/>
        <w:rPr>
          <w:sz w:val="24"/>
        </w:rPr>
      </w:pPr>
    </w:p>
    <w:p w:rsidR="0054731A" w:rsidRPr="00B81DC4" w:rsidRDefault="0054731A" w:rsidP="0054731A">
      <w:pPr>
        <w:tabs>
          <w:tab w:val="left" w:pos="3795"/>
        </w:tabs>
        <w:jc w:val="center"/>
        <w:rPr>
          <w:sz w:val="28"/>
          <w:szCs w:val="28"/>
        </w:rPr>
      </w:pPr>
      <w:r w:rsidRPr="00B81DC4">
        <w:rPr>
          <w:b/>
          <w:bCs/>
          <w:sz w:val="28"/>
          <w:szCs w:val="28"/>
        </w:rPr>
        <w:t>III.</w:t>
      </w:r>
    </w:p>
    <w:p w:rsidR="0054731A" w:rsidRPr="009D0F40" w:rsidRDefault="0054731A" w:rsidP="00DA013F">
      <w:pPr>
        <w:jc w:val="both"/>
        <w:rPr>
          <w:rFonts w:ascii="Times New Roman" w:hAnsi="Times New Roman" w:cs="Times New Roman"/>
        </w:rPr>
      </w:pPr>
      <w:r w:rsidRPr="009D0F40">
        <w:rPr>
          <w:rFonts w:ascii="Times New Roman" w:hAnsi="Times New Roman" w:cs="Times New Roman"/>
        </w:rPr>
        <w:t xml:space="preserve">Godišnji izvještaj o izvršenju Proračuna </w:t>
      </w:r>
      <w:r w:rsidR="009D0F40" w:rsidRPr="009D0F40">
        <w:rPr>
          <w:rFonts w:ascii="Times New Roman" w:hAnsi="Times New Roman" w:cs="Times New Roman"/>
        </w:rPr>
        <w:t>Psihijatrijske bolnice Ugljan za 202</w:t>
      </w:r>
      <w:r w:rsidR="00176A5C">
        <w:rPr>
          <w:rFonts w:ascii="Times New Roman" w:hAnsi="Times New Roman" w:cs="Times New Roman"/>
        </w:rPr>
        <w:t>2</w:t>
      </w:r>
      <w:r w:rsidRPr="009D0F40">
        <w:rPr>
          <w:rFonts w:ascii="Times New Roman" w:hAnsi="Times New Roman" w:cs="Times New Roman"/>
        </w:rPr>
        <w:t>. godinu sadrži:</w:t>
      </w:r>
    </w:p>
    <w:p w:rsidR="0054731A" w:rsidRPr="009D0F40" w:rsidRDefault="0054731A" w:rsidP="00432619">
      <w:pPr>
        <w:jc w:val="both"/>
        <w:rPr>
          <w:rFonts w:ascii="Times New Roman" w:hAnsi="Times New Roman" w:cs="Times New Roman"/>
        </w:rPr>
      </w:pPr>
      <w:r w:rsidRPr="009D0F40">
        <w:rPr>
          <w:rFonts w:ascii="Times New Roman" w:hAnsi="Times New Roman" w:cs="Times New Roman"/>
        </w:rPr>
        <w:t xml:space="preserve">1. </w:t>
      </w:r>
      <w:r w:rsidR="00432619" w:rsidRPr="009D0F40">
        <w:rPr>
          <w:rFonts w:ascii="Times New Roman" w:hAnsi="Times New Roman" w:cs="Times New Roman"/>
        </w:rPr>
        <w:t xml:space="preserve">    </w:t>
      </w:r>
      <w:r w:rsidRPr="009D0F40">
        <w:rPr>
          <w:rFonts w:ascii="Times New Roman" w:hAnsi="Times New Roman" w:cs="Times New Roman"/>
        </w:rPr>
        <w:t>opći dio Proračuna koji čini:</w:t>
      </w:r>
    </w:p>
    <w:p w:rsidR="0054731A" w:rsidRPr="009D0F40" w:rsidRDefault="0054731A" w:rsidP="00432619">
      <w:pPr>
        <w:ind w:left="426"/>
        <w:jc w:val="both"/>
        <w:rPr>
          <w:rFonts w:ascii="Times New Roman" w:hAnsi="Times New Roman" w:cs="Times New Roman"/>
        </w:rPr>
      </w:pPr>
      <w:r w:rsidRPr="009D0F40">
        <w:rPr>
          <w:rFonts w:ascii="Times New Roman" w:hAnsi="Times New Roman" w:cs="Times New Roman"/>
        </w:rPr>
        <w:t xml:space="preserve">- Račun prihoda i rashoda prema ekonomskoj klasifikaciji </w:t>
      </w:r>
    </w:p>
    <w:p w:rsidR="003B5705" w:rsidRDefault="0054731A" w:rsidP="00432619">
      <w:pPr>
        <w:ind w:left="426"/>
        <w:jc w:val="both"/>
        <w:rPr>
          <w:rFonts w:ascii="Times New Roman" w:hAnsi="Times New Roman" w:cs="Times New Roman"/>
        </w:rPr>
      </w:pPr>
      <w:r w:rsidRPr="009D0F40">
        <w:rPr>
          <w:rFonts w:ascii="Times New Roman" w:hAnsi="Times New Roman" w:cs="Times New Roman"/>
        </w:rPr>
        <w:t>- Račun financiranja prema ekonomskoj klasifikaciji</w:t>
      </w:r>
    </w:p>
    <w:p w:rsidR="0054731A" w:rsidRPr="009D0F40" w:rsidRDefault="003B5705" w:rsidP="00432619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Račun prihoda i rashoda po programskoj, ekonomskoj klasifikaciji i izvorima financiranja</w:t>
      </w:r>
      <w:r w:rsidR="0054731A" w:rsidRPr="009D0F40">
        <w:rPr>
          <w:rFonts w:ascii="Times New Roman" w:hAnsi="Times New Roman" w:cs="Times New Roman"/>
        </w:rPr>
        <w:t xml:space="preserve"> </w:t>
      </w:r>
    </w:p>
    <w:p w:rsidR="0054731A" w:rsidRPr="009D0F40" w:rsidRDefault="0054731A" w:rsidP="00432619">
      <w:pPr>
        <w:jc w:val="both"/>
        <w:rPr>
          <w:rFonts w:ascii="Times New Roman" w:hAnsi="Times New Roman" w:cs="Times New Roman"/>
        </w:rPr>
      </w:pPr>
      <w:r w:rsidRPr="009D0F40">
        <w:rPr>
          <w:rFonts w:ascii="Times New Roman" w:hAnsi="Times New Roman" w:cs="Times New Roman"/>
        </w:rPr>
        <w:t xml:space="preserve">2. </w:t>
      </w:r>
      <w:r w:rsidR="00432619" w:rsidRPr="009D0F40">
        <w:rPr>
          <w:rFonts w:ascii="Times New Roman" w:hAnsi="Times New Roman" w:cs="Times New Roman"/>
        </w:rPr>
        <w:t xml:space="preserve">   </w:t>
      </w:r>
      <w:r w:rsidRPr="009D0F40">
        <w:rPr>
          <w:rFonts w:ascii="Times New Roman" w:hAnsi="Times New Roman" w:cs="Times New Roman"/>
        </w:rPr>
        <w:t>A)</w:t>
      </w:r>
      <w:r w:rsidR="00432619" w:rsidRPr="009D0F40">
        <w:rPr>
          <w:rFonts w:ascii="Times New Roman" w:hAnsi="Times New Roman" w:cs="Times New Roman"/>
        </w:rPr>
        <w:t xml:space="preserve"> obrazloženje provedbe Akcijskog plana pokrića manjka</w:t>
      </w:r>
    </w:p>
    <w:p w:rsidR="00432619" w:rsidRPr="009D0F40" w:rsidRDefault="0054731A" w:rsidP="00432619">
      <w:pPr>
        <w:jc w:val="both"/>
        <w:rPr>
          <w:rFonts w:ascii="Times New Roman" w:hAnsi="Times New Roman" w:cs="Times New Roman"/>
        </w:rPr>
      </w:pPr>
      <w:r w:rsidRPr="009D0F40">
        <w:rPr>
          <w:rFonts w:ascii="Times New Roman" w:hAnsi="Times New Roman" w:cs="Times New Roman"/>
        </w:rPr>
        <w:t xml:space="preserve">   </w:t>
      </w:r>
      <w:r w:rsidR="00432619" w:rsidRPr="009D0F40">
        <w:rPr>
          <w:rFonts w:ascii="Times New Roman" w:hAnsi="Times New Roman" w:cs="Times New Roman"/>
        </w:rPr>
        <w:t xml:space="preserve">   </w:t>
      </w:r>
      <w:r w:rsidRPr="009D0F40">
        <w:rPr>
          <w:rFonts w:ascii="Times New Roman" w:hAnsi="Times New Roman" w:cs="Times New Roman"/>
        </w:rPr>
        <w:t xml:space="preserve"> B)</w:t>
      </w:r>
      <w:r w:rsidR="00432619" w:rsidRPr="009D0F40">
        <w:rPr>
          <w:rFonts w:ascii="Times New Roman" w:hAnsi="Times New Roman" w:cs="Times New Roman"/>
        </w:rPr>
        <w:t xml:space="preserve"> obrazloženje ostvarenja prihoda i primitaka     </w:t>
      </w:r>
    </w:p>
    <w:p w:rsidR="0049633C" w:rsidRDefault="00432619" w:rsidP="00324A51">
      <w:pPr>
        <w:jc w:val="both"/>
        <w:rPr>
          <w:rFonts w:ascii="Times New Roman" w:hAnsi="Times New Roman" w:cs="Times New Roman"/>
        </w:rPr>
      </w:pPr>
      <w:r w:rsidRPr="009D0F40">
        <w:rPr>
          <w:rFonts w:ascii="Times New Roman" w:hAnsi="Times New Roman" w:cs="Times New Roman"/>
        </w:rPr>
        <w:t xml:space="preserve">       C) obrazloženje rashoda i izdataka.</w:t>
      </w:r>
    </w:p>
    <w:p w:rsidR="00176A5C" w:rsidRPr="009D0F40" w:rsidRDefault="00176A5C" w:rsidP="00324A51">
      <w:pPr>
        <w:jc w:val="both"/>
        <w:rPr>
          <w:rFonts w:ascii="Times New Roman" w:hAnsi="Times New Roman" w:cs="Times New Roman"/>
        </w:rPr>
      </w:pPr>
    </w:p>
    <w:p w:rsidR="0049633C" w:rsidRDefault="0049633C" w:rsidP="00586EED">
      <w:pPr>
        <w:pStyle w:val="Bezproreda"/>
        <w:jc w:val="both"/>
        <w:rPr>
          <w:sz w:val="24"/>
        </w:rPr>
      </w:pPr>
    </w:p>
    <w:p w:rsidR="00111069" w:rsidRDefault="00111069" w:rsidP="00586EED">
      <w:pPr>
        <w:pStyle w:val="Bezproreda"/>
        <w:jc w:val="both"/>
        <w:rPr>
          <w:sz w:val="24"/>
        </w:rPr>
      </w:pPr>
    </w:p>
    <w:p w:rsidR="0049633C" w:rsidRPr="00111069" w:rsidRDefault="00595FE0" w:rsidP="00111069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</w:rPr>
      </w:pPr>
      <w:r w:rsidRPr="00111069">
        <w:rPr>
          <w:rFonts w:ascii="Times New Roman" w:hAnsi="Times New Roman" w:cs="Times New Roman"/>
          <w:b/>
          <w:i/>
          <w:sz w:val="24"/>
        </w:rPr>
        <w:t>opći dio Proračuna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894"/>
        <w:gridCol w:w="4120"/>
        <w:gridCol w:w="1160"/>
        <w:gridCol w:w="1160"/>
        <w:gridCol w:w="1219"/>
        <w:gridCol w:w="940"/>
      </w:tblGrid>
      <w:tr w:rsidR="00176A5C" w:rsidRPr="00176A5C" w:rsidTr="00176A5C">
        <w:trPr>
          <w:trHeight w:val="7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Račun iz računskog plana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IZVRŠENJE U 2021. GODINI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TEKUĆI PLAN ZA 2022. GODINU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OSTVARENO U IZVJEŠTAJNOM RAZDOBLJU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INDEKS (5/4 x 100)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176A5C" w:rsidRPr="00176A5C" w:rsidTr="00176A5C">
        <w:trPr>
          <w:trHeight w:val="30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A. RAČUN PRIHODA I RASHODA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57.224.798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68.440.994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58.556.084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85,56%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17.716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12.180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93,69%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54.291.962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58.627.594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57.309.953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97,75%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12.225.777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1.545.500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1.485.255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96,10%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RAZLIKA (višak / manjak)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-9.275.225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8.280.900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-226.944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-2,74%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B. RAČUN ZADUŽIVANJA / FINANCIRANJA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5.732.282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794.857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1.341.643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1.880.900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1.872.155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99,54%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NETO ZADUŽIVANJE / FINANCIRANJE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4.390.639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-1.880.900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-1.077.298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57,28%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30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C. RASPOLOŽIVA SREDSTVA IZ PRETHODNIH GODINA (MANJAK PRIHODA)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Vlastiti izvori - manjak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-17.457.438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-22.342.024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-22.342.024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100,00%</w:t>
            </w:r>
          </w:p>
        </w:tc>
      </w:tr>
      <w:tr w:rsidR="00176A5C" w:rsidRPr="00176A5C" w:rsidTr="00176A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76A5C" w:rsidRPr="00176A5C" w:rsidTr="00176A5C">
        <w:trPr>
          <w:trHeight w:val="630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VIŠAK / MANJAK PRIHODA / PRIMITAKA RASPOLOŽIV U SLJEDEĆEM RAZDOBLJU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-22.342.024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-15.942.024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-23.646.266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5C" w:rsidRPr="00176A5C" w:rsidRDefault="00176A5C" w:rsidP="00176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6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148,33%</w:t>
            </w:r>
          </w:p>
        </w:tc>
      </w:tr>
    </w:tbl>
    <w:p w:rsidR="00111069" w:rsidRPr="00595FE0" w:rsidRDefault="00111069" w:rsidP="00111069">
      <w:pPr>
        <w:pStyle w:val="Bezproreda"/>
        <w:jc w:val="both"/>
        <w:rPr>
          <w:b/>
          <w:i/>
          <w:sz w:val="24"/>
        </w:rPr>
      </w:pPr>
    </w:p>
    <w:p w:rsidR="0049633C" w:rsidRDefault="0049633C" w:rsidP="00586EED">
      <w:pPr>
        <w:pStyle w:val="Bezproreda"/>
        <w:jc w:val="both"/>
        <w:rPr>
          <w:sz w:val="24"/>
        </w:rPr>
      </w:pPr>
    </w:p>
    <w:p w:rsidR="00111069" w:rsidRDefault="00111069" w:rsidP="00586EED">
      <w:pPr>
        <w:pStyle w:val="Bezproreda"/>
        <w:jc w:val="both"/>
        <w:rPr>
          <w:sz w:val="24"/>
        </w:rPr>
      </w:pPr>
    </w:p>
    <w:p w:rsidR="00111069" w:rsidRDefault="00111069" w:rsidP="00586EED">
      <w:pPr>
        <w:pStyle w:val="Bezproreda"/>
        <w:jc w:val="both"/>
        <w:rPr>
          <w:sz w:val="24"/>
        </w:rPr>
      </w:pPr>
    </w:p>
    <w:p w:rsidR="00111069" w:rsidRDefault="00111069" w:rsidP="00586EED">
      <w:pPr>
        <w:pStyle w:val="Bezproreda"/>
        <w:jc w:val="both"/>
        <w:rPr>
          <w:sz w:val="24"/>
        </w:rPr>
      </w:pPr>
    </w:p>
    <w:p w:rsidR="00111069" w:rsidRDefault="00111069" w:rsidP="00586EED">
      <w:pPr>
        <w:pStyle w:val="Bezproreda"/>
        <w:jc w:val="both"/>
        <w:rPr>
          <w:sz w:val="24"/>
        </w:rPr>
      </w:pPr>
    </w:p>
    <w:p w:rsidR="00111069" w:rsidRDefault="00111069" w:rsidP="00586EED">
      <w:pPr>
        <w:pStyle w:val="Bezproreda"/>
        <w:jc w:val="both"/>
        <w:rPr>
          <w:sz w:val="24"/>
        </w:rPr>
      </w:pPr>
    </w:p>
    <w:p w:rsidR="00111069" w:rsidRDefault="00111069" w:rsidP="00586EED">
      <w:pPr>
        <w:pStyle w:val="Bezproreda"/>
        <w:jc w:val="both"/>
        <w:rPr>
          <w:sz w:val="24"/>
        </w:rPr>
      </w:pPr>
    </w:p>
    <w:p w:rsidR="00605AF1" w:rsidRPr="00903E90" w:rsidRDefault="00605AF1" w:rsidP="00EF100D">
      <w:pPr>
        <w:jc w:val="both"/>
        <w:rPr>
          <w:rFonts w:ascii="Times New Roman" w:hAnsi="Times New Roman" w:cs="Times New Roman"/>
        </w:rPr>
      </w:pPr>
      <w:r w:rsidRPr="00903E90">
        <w:rPr>
          <w:rFonts w:ascii="Times New Roman" w:hAnsi="Times New Roman" w:cs="Times New Roman"/>
        </w:rPr>
        <w:t xml:space="preserve">Planom sukcesivnog pokrića manjka iz prethodnih </w:t>
      </w:r>
      <w:r w:rsidRPr="003729AC">
        <w:rPr>
          <w:rFonts w:ascii="Times New Roman" w:hAnsi="Times New Roman" w:cs="Times New Roman"/>
        </w:rPr>
        <w:t xml:space="preserve">razdoblja (Odluka </w:t>
      </w:r>
      <w:r w:rsidR="00DF7506" w:rsidRPr="003729AC">
        <w:rPr>
          <w:rFonts w:ascii="Times New Roman" w:hAnsi="Times New Roman" w:cs="Times New Roman"/>
        </w:rPr>
        <w:t>UV</w:t>
      </w:r>
      <w:r w:rsidRPr="003729AC">
        <w:rPr>
          <w:rFonts w:ascii="Times New Roman" w:hAnsi="Times New Roman" w:cs="Times New Roman"/>
        </w:rPr>
        <w:t xml:space="preserve"> broj: </w:t>
      </w:r>
      <w:bookmarkStart w:id="0" w:name="_Hlk64569991"/>
      <w:r w:rsidRPr="003729AC">
        <w:rPr>
          <w:rFonts w:ascii="Times New Roman" w:hAnsi="Times New Roman" w:cs="Times New Roman"/>
        </w:rPr>
        <w:t>01-</w:t>
      </w:r>
      <w:r w:rsidR="00DF7506" w:rsidRPr="003729AC">
        <w:rPr>
          <w:rFonts w:ascii="Times New Roman" w:hAnsi="Times New Roman" w:cs="Times New Roman"/>
        </w:rPr>
        <w:t>11</w:t>
      </w:r>
      <w:r w:rsidR="003729AC" w:rsidRPr="003729AC">
        <w:rPr>
          <w:rFonts w:ascii="Times New Roman" w:hAnsi="Times New Roman" w:cs="Times New Roman"/>
        </w:rPr>
        <w:t>1</w:t>
      </w:r>
      <w:r w:rsidR="00DF7506" w:rsidRPr="003729AC">
        <w:rPr>
          <w:rFonts w:ascii="Times New Roman" w:hAnsi="Times New Roman" w:cs="Times New Roman"/>
        </w:rPr>
        <w:t>4</w:t>
      </w:r>
      <w:r w:rsidRPr="003729AC">
        <w:rPr>
          <w:rFonts w:ascii="Times New Roman" w:hAnsi="Times New Roman" w:cs="Times New Roman"/>
        </w:rPr>
        <w:t>/</w:t>
      </w:r>
      <w:r w:rsidR="003729AC" w:rsidRPr="003729AC">
        <w:rPr>
          <w:rFonts w:ascii="Times New Roman" w:hAnsi="Times New Roman" w:cs="Times New Roman"/>
        </w:rPr>
        <w:t>3</w:t>
      </w:r>
      <w:r w:rsidR="00DF7506" w:rsidRPr="003729AC">
        <w:rPr>
          <w:rFonts w:ascii="Times New Roman" w:hAnsi="Times New Roman" w:cs="Times New Roman"/>
        </w:rPr>
        <w:t>-</w:t>
      </w:r>
      <w:r w:rsidRPr="003729AC">
        <w:rPr>
          <w:rFonts w:ascii="Times New Roman" w:hAnsi="Times New Roman" w:cs="Times New Roman"/>
        </w:rPr>
        <w:t>2</w:t>
      </w:r>
      <w:r w:rsidR="003729AC" w:rsidRPr="003729AC">
        <w:rPr>
          <w:rFonts w:ascii="Times New Roman" w:hAnsi="Times New Roman" w:cs="Times New Roman"/>
        </w:rPr>
        <w:t>2</w:t>
      </w:r>
      <w:r w:rsidRPr="003729AC">
        <w:rPr>
          <w:rFonts w:ascii="Times New Roman" w:hAnsi="Times New Roman" w:cs="Times New Roman"/>
        </w:rPr>
        <w:t xml:space="preserve"> od </w:t>
      </w:r>
      <w:r w:rsidR="003729AC" w:rsidRPr="003729AC">
        <w:rPr>
          <w:rFonts w:ascii="Times New Roman" w:hAnsi="Times New Roman" w:cs="Times New Roman"/>
        </w:rPr>
        <w:t>28</w:t>
      </w:r>
      <w:r w:rsidRPr="003729AC">
        <w:rPr>
          <w:rFonts w:ascii="Times New Roman" w:hAnsi="Times New Roman" w:cs="Times New Roman"/>
        </w:rPr>
        <w:t xml:space="preserve">. </w:t>
      </w:r>
      <w:r w:rsidR="003729AC" w:rsidRPr="003729AC">
        <w:rPr>
          <w:rFonts w:ascii="Times New Roman" w:hAnsi="Times New Roman" w:cs="Times New Roman"/>
        </w:rPr>
        <w:t>lipnja</w:t>
      </w:r>
      <w:r w:rsidRPr="003729AC">
        <w:rPr>
          <w:rFonts w:ascii="Times New Roman" w:hAnsi="Times New Roman" w:cs="Times New Roman"/>
        </w:rPr>
        <w:t xml:space="preserve"> 20</w:t>
      </w:r>
      <w:r w:rsidR="005A6EFA" w:rsidRPr="003729AC">
        <w:rPr>
          <w:rFonts w:ascii="Times New Roman" w:hAnsi="Times New Roman" w:cs="Times New Roman"/>
        </w:rPr>
        <w:t>2</w:t>
      </w:r>
      <w:r w:rsidR="003729AC">
        <w:rPr>
          <w:rFonts w:ascii="Times New Roman" w:hAnsi="Times New Roman" w:cs="Times New Roman"/>
        </w:rPr>
        <w:t>2.</w:t>
      </w:r>
      <w:r w:rsidRPr="003729AC">
        <w:rPr>
          <w:rFonts w:ascii="Times New Roman" w:hAnsi="Times New Roman" w:cs="Times New Roman"/>
        </w:rPr>
        <w:t xml:space="preserve"> godine</w:t>
      </w:r>
      <w:bookmarkEnd w:id="0"/>
      <w:r w:rsidRPr="003729AC">
        <w:rPr>
          <w:rFonts w:ascii="Times New Roman" w:hAnsi="Times New Roman" w:cs="Times New Roman"/>
        </w:rPr>
        <w:t>), definirano je u 20</w:t>
      </w:r>
      <w:r w:rsidR="005A6EFA" w:rsidRPr="003729AC">
        <w:rPr>
          <w:rFonts w:ascii="Times New Roman" w:hAnsi="Times New Roman" w:cs="Times New Roman"/>
        </w:rPr>
        <w:t>2</w:t>
      </w:r>
      <w:r w:rsidR="00176460" w:rsidRPr="003729AC">
        <w:rPr>
          <w:rFonts w:ascii="Times New Roman" w:hAnsi="Times New Roman" w:cs="Times New Roman"/>
        </w:rPr>
        <w:t>2</w:t>
      </w:r>
      <w:r w:rsidRPr="003729AC">
        <w:rPr>
          <w:rFonts w:ascii="Times New Roman" w:hAnsi="Times New Roman" w:cs="Times New Roman"/>
        </w:rPr>
        <w:t xml:space="preserve">. godini pokriće manjka za iznos od </w:t>
      </w:r>
      <w:bookmarkStart w:id="1" w:name="_Hlk64570073"/>
      <w:r w:rsidR="00176460" w:rsidRPr="003729AC">
        <w:rPr>
          <w:rFonts w:ascii="Times New Roman" w:hAnsi="Times New Roman" w:cs="Times New Roman"/>
        </w:rPr>
        <w:t>6</w:t>
      </w:r>
      <w:r w:rsidR="005A6EFA" w:rsidRPr="003729AC">
        <w:rPr>
          <w:rFonts w:ascii="Times New Roman" w:hAnsi="Times New Roman" w:cs="Times New Roman"/>
        </w:rPr>
        <w:t>.</w:t>
      </w:r>
      <w:r w:rsidR="00176460" w:rsidRPr="003729AC">
        <w:rPr>
          <w:rFonts w:ascii="Times New Roman" w:hAnsi="Times New Roman" w:cs="Times New Roman"/>
        </w:rPr>
        <w:t>4</w:t>
      </w:r>
      <w:r w:rsidR="00DF7506" w:rsidRPr="003729AC">
        <w:rPr>
          <w:rFonts w:ascii="Times New Roman" w:hAnsi="Times New Roman" w:cs="Times New Roman"/>
        </w:rPr>
        <w:t>00</w:t>
      </w:r>
      <w:r w:rsidR="005A6EFA" w:rsidRPr="003729AC">
        <w:rPr>
          <w:rFonts w:ascii="Times New Roman" w:hAnsi="Times New Roman" w:cs="Times New Roman"/>
        </w:rPr>
        <w:t>.</w:t>
      </w:r>
      <w:r w:rsidR="00DF7506" w:rsidRPr="003729AC">
        <w:rPr>
          <w:rFonts w:ascii="Times New Roman" w:hAnsi="Times New Roman" w:cs="Times New Roman"/>
        </w:rPr>
        <w:t>000</w:t>
      </w:r>
      <w:r w:rsidRPr="003729AC">
        <w:rPr>
          <w:rFonts w:ascii="Times New Roman" w:hAnsi="Times New Roman" w:cs="Times New Roman"/>
        </w:rPr>
        <w:t xml:space="preserve"> </w:t>
      </w:r>
      <w:bookmarkEnd w:id="1"/>
      <w:r w:rsidRPr="003729AC">
        <w:rPr>
          <w:rFonts w:ascii="Times New Roman" w:hAnsi="Times New Roman" w:cs="Times New Roman"/>
        </w:rPr>
        <w:t>kun</w:t>
      </w:r>
      <w:r w:rsidR="00DF7506" w:rsidRPr="003729AC">
        <w:rPr>
          <w:rFonts w:ascii="Times New Roman" w:hAnsi="Times New Roman" w:cs="Times New Roman"/>
        </w:rPr>
        <w:t>a</w:t>
      </w:r>
      <w:r w:rsidRPr="003729AC">
        <w:rPr>
          <w:rFonts w:ascii="Times New Roman" w:hAnsi="Times New Roman" w:cs="Times New Roman"/>
        </w:rPr>
        <w:t>,</w:t>
      </w:r>
      <w:r w:rsidRPr="00903E90">
        <w:rPr>
          <w:rFonts w:ascii="Times New Roman" w:hAnsi="Times New Roman" w:cs="Times New Roman"/>
        </w:rPr>
        <w:t xml:space="preserve"> </w:t>
      </w:r>
      <w:r w:rsidR="005A6EFA" w:rsidRPr="00903E90">
        <w:rPr>
          <w:rFonts w:ascii="Times New Roman" w:hAnsi="Times New Roman" w:cs="Times New Roman"/>
        </w:rPr>
        <w:t xml:space="preserve">međutim planirano se nije izvršilo, što ponajviše leži u činjenici </w:t>
      </w:r>
      <w:r w:rsidR="00DF7506" w:rsidRPr="00903E90">
        <w:rPr>
          <w:rFonts w:ascii="Times New Roman" w:hAnsi="Times New Roman" w:cs="Times New Roman"/>
        </w:rPr>
        <w:t xml:space="preserve">nemogućnosti izvršenja </w:t>
      </w:r>
      <w:r w:rsidR="00903E90" w:rsidRPr="00903E90">
        <w:rPr>
          <w:rFonts w:ascii="Times New Roman" w:hAnsi="Times New Roman" w:cs="Times New Roman"/>
        </w:rPr>
        <w:t>paušala zbog pandemijske situacije i nerealno niskih cijena BO dana kroničnih psihijatrijskih pacijenata.</w:t>
      </w:r>
    </w:p>
    <w:p w:rsidR="0049633C" w:rsidRPr="00903E90" w:rsidRDefault="005A6EFA" w:rsidP="00EF100D">
      <w:pPr>
        <w:jc w:val="both"/>
        <w:rPr>
          <w:rFonts w:ascii="Times New Roman" w:hAnsi="Times New Roman" w:cs="Times New Roman"/>
        </w:rPr>
      </w:pPr>
      <w:r w:rsidRPr="00903E90">
        <w:rPr>
          <w:rFonts w:ascii="Times New Roman" w:hAnsi="Times New Roman" w:cs="Times New Roman"/>
        </w:rPr>
        <w:t>U</w:t>
      </w:r>
      <w:r w:rsidR="00D35B0C" w:rsidRPr="00903E90">
        <w:rPr>
          <w:rFonts w:ascii="Times New Roman" w:hAnsi="Times New Roman" w:cs="Times New Roman"/>
        </w:rPr>
        <w:t xml:space="preserve"> izvještajnom razdoblju nije ostvareno predviđano pokriće manjka u iznosu </w:t>
      </w:r>
      <w:r w:rsidR="00176460">
        <w:rPr>
          <w:rFonts w:ascii="Times New Roman" w:hAnsi="Times New Roman" w:cs="Times New Roman"/>
        </w:rPr>
        <w:t>6</w:t>
      </w:r>
      <w:r w:rsidR="00D35B0C" w:rsidRPr="00903E90">
        <w:rPr>
          <w:rFonts w:ascii="Times New Roman" w:hAnsi="Times New Roman" w:cs="Times New Roman"/>
        </w:rPr>
        <w:t>.</w:t>
      </w:r>
      <w:r w:rsidR="00176460">
        <w:rPr>
          <w:rFonts w:ascii="Times New Roman" w:hAnsi="Times New Roman" w:cs="Times New Roman"/>
        </w:rPr>
        <w:t>4</w:t>
      </w:r>
      <w:r w:rsidR="00903E90" w:rsidRPr="00903E90">
        <w:rPr>
          <w:rFonts w:ascii="Times New Roman" w:hAnsi="Times New Roman" w:cs="Times New Roman"/>
        </w:rPr>
        <w:t>00</w:t>
      </w:r>
      <w:r w:rsidR="00D35B0C" w:rsidRPr="00903E90">
        <w:rPr>
          <w:rFonts w:ascii="Times New Roman" w:hAnsi="Times New Roman" w:cs="Times New Roman"/>
        </w:rPr>
        <w:t>.</w:t>
      </w:r>
      <w:r w:rsidR="00903E90" w:rsidRPr="00903E90">
        <w:rPr>
          <w:rFonts w:ascii="Times New Roman" w:hAnsi="Times New Roman" w:cs="Times New Roman"/>
        </w:rPr>
        <w:t>000</w:t>
      </w:r>
      <w:r w:rsidR="00D35B0C" w:rsidRPr="00903E90">
        <w:rPr>
          <w:rFonts w:ascii="Times New Roman" w:hAnsi="Times New Roman" w:cs="Times New Roman"/>
        </w:rPr>
        <w:t xml:space="preserve"> kun</w:t>
      </w:r>
      <w:r w:rsidR="00903E90" w:rsidRPr="00903E90">
        <w:rPr>
          <w:rFonts w:ascii="Times New Roman" w:hAnsi="Times New Roman" w:cs="Times New Roman"/>
        </w:rPr>
        <w:t>a</w:t>
      </w:r>
      <w:r w:rsidR="00D35B0C" w:rsidRPr="00903E90">
        <w:rPr>
          <w:rFonts w:ascii="Times New Roman" w:hAnsi="Times New Roman" w:cs="Times New Roman"/>
        </w:rPr>
        <w:t xml:space="preserve">, već je </w:t>
      </w:r>
      <w:r w:rsidR="00604049" w:rsidRPr="00903E90">
        <w:rPr>
          <w:rFonts w:ascii="Times New Roman" w:hAnsi="Times New Roman" w:cs="Times New Roman"/>
        </w:rPr>
        <w:t xml:space="preserve">ostvareni manjak tekuće godine </w:t>
      </w:r>
      <w:r w:rsidR="00903E90" w:rsidRPr="00903E90">
        <w:rPr>
          <w:rFonts w:ascii="Times New Roman" w:hAnsi="Times New Roman" w:cs="Times New Roman"/>
        </w:rPr>
        <w:t>-</w:t>
      </w:r>
      <w:r w:rsidR="00176460">
        <w:rPr>
          <w:rFonts w:ascii="Times New Roman" w:hAnsi="Times New Roman" w:cs="Times New Roman"/>
        </w:rPr>
        <w:t>1</w:t>
      </w:r>
      <w:r w:rsidR="00937600" w:rsidRPr="00903E90">
        <w:rPr>
          <w:rFonts w:ascii="Times New Roman" w:hAnsi="Times New Roman" w:cs="Times New Roman"/>
        </w:rPr>
        <w:t>.</w:t>
      </w:r>
      <w:r w:rsidR="00176460">
        <w:rPr>
          <w:rFonts w:ascii="Times New Roman" w:hAnsi="Times New Roman" w:cs="Times New Roman"/>
        </w:rPr>
        <w:t>304</w:t>
      </w:r>
      <w:r w:rsidR="00937600" w:rsidRPr="00903E90">
        <w:rPr>
          <w:rFonts w:ascii="Times New Roman" w:hAnsi="Times New Roman" w:cs="Times New Roman"/>
        </w:rPr>
        <w:t>.</w:t>
      </w:r>
      <w:r w:rsidR="00176460">
        <w:rPr>
          <w:rFonts w:ascii="Times New Roman" w:hAnsi="Times New Roman" w:cs="Times New Roman"/>
        </w:rPr>
        <w:t>242</w:t>
      </w:r>
      <w:r w:rsidR="00937600" w:rsidRPr="00903E90">
        <w:rPr>
          <w:rFonts w:ascii="Times New Roman" w:hAnsi="Times New Roman" w:cs="Times New Roman"/>
        </w:rPr>
        <w:t xml:space="preserve"> </w:t>
      </w:r>
      <w:r w:rsidR="00D35B0C" w:rsidRPr="00903E90">
        <w:rPr>
          <w:rFonts w:ascii="Times New Roman" w:hAnsi="Times New Roman" w:cs="Times New Roman"/>
        </w:rPr>
        <w:t>kun</w:t>
      </w:r>
      <w:r w:rsidR="00176460">
        <w:rPr>
          <w:rFonts w:ascii="Times New Roman" w:hAnsi="Times New Roman" w:cs="Times New Roman"/>
        </w:rPr>
        <w:t>e</w:t>
      </w:r>
      <w:r w:rsidR="00D35B0C" w:rsidRPr="00903E90">
        <w:rPr>
          <w:rFonts w:ascii="Times New Roman" w:hAnsi="Times New Roman" w:cs="Times New Roman"/>
        </w:rPr>
        <w:t xml:space="preserve">, što u zbroju sa prenesenim manjkom od </w:t>
      </w:r>
      <w:bookmarkStart w:id="2" w:name="_Hlk64569926"/>
      <w:r w:rsidR="00176460">
        <w:rPr>
          <w:rFonts w:ascii="Times New Roman" w:hAnsi="Times New Roman" w:cs="Times New Roman"/>
          <w:b/>
          <w:bCs/>
        </w:rPr>
        <w:t>22</w:t>
      </w:r>
      <w:r w:rsidR="00937600" w:rsidRPr="00903E90">
        <w:rPr>
          <w:rFonts w:ascii="Times New Roman" w:hAnsi="Times New Roman" w:cs="Times New Roman"/>
          <w:b/>
          <w:bCs/>
        </w:rPr>
        <w:t>.</w:t>
      </w:r>
      <w:r w:rsidR="00176460">
        <w:rPr>
          <w:rFonts w:ascii="Times New Roman" w:hAnsi="Times New Roman" w:cs="Times New Roman"/>
          <w:b/>
          <w:bCs/>
        </w:rPr>
        <w:t>342</w:t>
      </w:r>
      <w:r w:rsidR="00937600" w:rsidRPr="00903E90">
        <w:rPr>
          <w:rFonts w:ascii="Times New Roman" w:hAnsi="Times New Roman" w:cs="Times New Roman"/>
          <w:b/>
          <w:bCs/>
        </w:rPr>
        <w:t>.</w:t>
      </w:r>
      <w:r w:rsidR="00176460">
        <w:rPr>
          <w:rFonts w:ascii="Times New Roman" w:hAnsi="Times New Roman" w:cs="Times New Roman"/>
          <w:b/>
          <w:bCs/>
        </w:rPr>
        <w:t>024</w:t>
      </w:r>
      <w:r w:rsidR="00937600" w:rsidRPr="00903E90">
        <w:rPr>
          <w:rFonts w:ascii="Times New Roman" w:hAnsi="Times New Roman" w:cs="Times New Roman"/>
          <w:b/>
          <w:bCs/>
        </w:rPr>
        <w:t xml:space="preserve"> </w:t>
      </w:r>
      <w:bookmarkEnd w:id="2"/>
      <w:r w:rsidR="00D35B0C" w:rsidRPr="00903E90">
        <w:rPr>
          <w:rFonts w:ascii="Times New Roman" w:hAnsi="Times New Roman" w:cs="Times New Roman"/>
          <w:b/>
          <w:bCs/>
        </w:rPr>
        <w:t>kun</w:t>
      </w:r>
      <w:r w:rsidR="00176460">
        <w:rPr>
          <w:rFonts w:ascii="Times New Roman" w:hAnsi="Times New Roman" w:cs="Times New Roman"/>
          <w:b/>
          <w:bCs/>
        </w:rPr>
        <w:t>e</w:t>
      </w:r>
      <w:r w:rsidR="00D35B0C" w:rsidRPr="00903E90">
        <w:rPr>
          <w:rFonts w:ascii="Times New Roman" w:hAnsi="Times New Roman" w:cs="Times New Roman"/>
          <w:b/>
          <w:bCs/>
        </w:rPr>
        <w:t xml:space="preserve">, daje kumulativan manjak koji se prenosi u slijedeće razdoblje u iznosu od </w:t>
      </w:r>
      <w:r w:rsidR="00903E90" w:rsidRPr="00903E90">
        <w:rPr>
          <w:rFonts w:ascii="Times New Roman" w:hAnsi="Times New Roman" w:cs="Times New Roman"/>
          <w:b/>
          <w:bCs/>
        </w:rPr>
        <w:t>2</w:t>
      </w:r>
      <w:r w:rsidR="00176460">
        <w:rPr>
          <w:rFonts w:ascii="Times New Roman" w:hAnsi="Times New Roman" w:cs="Times New Roman"/>
          <w:b/>
          <w:bCs/>
        </w:rPr>
        <w:t>3</w:t>
      </w:r>
      <w:r w:rsidR="00937600" w:rsidRPr="00903E90">
        <w:rPr>
          <w:rFonts w:ascii="Times New Roman" w:hAnsi="Times New Roman" w:cs="Times New Roman"/>
          <w:b/>
          <w:bCs/>
        </w:rPr>
        <w:t>.</w:t>
      </w:r>
      <w:r w:rsidR="00176460">
        <w:rPr>
          <w:rFonts w:ascii="Times New Roman" w:hAnsi="Times New Roman" w:cs="Times New Roman"/>
          <w:b/>
          <w:bCs/>
        </w:rPr>
        <w:t>6</w:t>
      </w:r>
      <w:r w:rsidR="00903E90" w:rsidRPr="00903E90">
        <w:rPr>
          <w:rFonts w:ascii="Times New Roman" w:hAnsi="Times New Roman" w:cs="Times New Roman"/>
          <w:b/>
          <w:bCs/>
        </w:rPr>
        <w:t>4</w:t>
      </w:r>
      <w:r w:rsidR="00176460">
        <w:rPr>
          <w:rFonts w:ascii="Times New Roman" w:hAnsi="Times New Roman" w:cs="Times New Roman"/>
          <w:b/>
          <w:bCs/>
        </w:rPr>
        <w:t>6</w:t>
      </w:r>
      <w:r w:rsidR="00937600" w:rsidRPr="00903E90">
        <w:rPr>
          <w:rFonts w:ascii="Times New Roman" w:hAnsi="Times New Roman" w:cs="Times New Roman"/>
          <w:b/>
          <w:bCs/>
        </w:rPr>
        <w:t>.</w:t>
      </w:r>
      <w:r w:rsidR="00176460">
        <w:rPr>
          <w:rFonts w:ascii="Times New Roman" w:hAnsi="Times New Roman" w:cs="Times New Roman"/>
          <w:b/>
          <w:bCs/>
        </w:rPr>
        <w:t>266</w:t>
      </w:r>
      <w:r w:rsidR="00990E1C" w:rsidRPr="00903E90">
        <w:rPr>
          <w:rFonts w:ascii="Times New Roman" w:hAnsi="Times New Roman" w:cs="Times New Roman"/>
          <w:b/>
          <w:bCs/>
        </w:rPr>
        <w:t xml:space="preserve"> </w:t>
      </w:r>
      <w:r w:rsidR="00D35B0C" w:rsidRPr="00903E90">
        <w:rPr>
          <w:rFonts w:ascii="Times New Roman" w:hAnsi="Times New Roman" w:cs="Times New Roman"/>
          <w:b/>
          <w:bCs/>
        </w:rPr>
        <w:t>kuna</w:t>
      </w:r>
      <w:r w:rsidR="00604049" w:rsidRPr="00903E90">
        <w:rPr>
          <w:rFonts w:ascii="Times New Roman" w:hAnsi="Times New Roman" w:cs="Times New Roman"/>
          <w:b/>
          <w:bCs/>
        </w:rPr>
        <w:t>.</w:t>
      </w:r>
    </w:p>
    <w:p w:rsidR="0049633C" w:rsidRDefault="0049633C" w:rsidP="00586EED">
      <w:pPr>
        <w:pStyle w:val="Bezproreda"/>
        <w:jc w:val="both"/>
        <w:rPr>
          <w:noProof/>
          <w:lang w:eastAsia="hr-HR"/>
        </w:rPr>
      </w:pPr>
    </w:p>
    <w:p w:rsidR="00903E90" w:rsidRDefault="00903E90" w:rsidP="00586EED">
      <w:pPr>
        <w:pStyle w:val="Bezproreda"/>
        <w:jc w:val="both"/>
        <w:rPr>
          <w:noProof/>
          <w:lang w:eastAsia="hr-HR"/>
        </w:rPr>
      </w:pPr>
    </w:p>
    <w:p w:rsidR="00E31C0F" w:rsidRDefault="00E31C0F" w:rsidP="00586EED">
      <w:pPr>
        <w:pStyle w:val="Bezproreda"/>
        <w:jc w:val="both"/>
        <w:rPr>
          <w:noProof/>
          <w:lang w:eastAsia="hr-HR"/>
        </w:rPr>
      </w:pPr>
    </w:p>
    <w:p w:rsidR="00E31C0F" w:rsidRDefault="00E31C0F" w:rsidP="00586EED">
      <w:pPr>
        <w:pStyle w:val="Bezproreda"/>
        <w:jc w:val="both"/>
        <w:rPr>
          <w:noProof/>
          <w:lang w:eastAsia="hr-HR"/>
        </w:rPr>
      </w:pPr>
    </w:p>
    <w:p w:rsidR="00176460" w:rsidRDefault="00176460" w:rsidP="00586EED">
      <w:pPr>
        <w:pStyle w:val="Bezproreda"/>
        <w:jc w:val="both"/>
        <w:rPr>
          <w:noProof/>
          <w:lang w:eastAsia="hr-HR"/>
        </w:rPr>
      </w:pPr>
    </w:p>
    <w:p w:rsidR="00176460" w:rsidRDefault="00176460" w:rsidP="00586EED">
      <w:pPr>
        <w:pStyle w:val="Bezproreda"/>
        <w:jc w:val="both"/>
        <w:rPr>
          <w:noProof/>
          <w:lang w:eastAsia="hr-HR"/>
        </w:rPr>
      </w:pPr>
    </w:p>
    <w:tbl>
      <w:tblPr>
        <w:tblW w:w="10127" w:type="dxa"/>
        <w:tblInd w:w="93" w:type="dxa"/>
        <w:tblLook w:val="04A0" w:firstRow="1" w:lastRow="0" w:firstColumn="1" w:lastColumn="0" w:noHBand="0" w:noVBand="1"/>
      </w:tblPr>
      <w:tblGrid>
        <w:gridCol w:w="900"/>
        <w:gridCol w:w="4720"/>
        <w:gridCol w:w="1134"/>
        <w:gridCol w:w="1134"/>
        <w:gridCol w:w="1219"/>
        <w:gridCol w:w="1020"/>
      </w:tblGrid>
      <w:tr w:rsidR="00176460" w:rsidRPr="00176460" w:rsidTr="00176460">
        <w:trPr>
          <w:trHeight w:val="390"/>
        </w:trPr>
        <w:tc>
          <w:tcPr>
            <w:tcW w:w="10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UKUPNI RASHODI</w:t>
            </w:r>
          </w:p>
        </w:tc>
      </w:tr>
      <w:tr w:rsidR="00176460" w:rsidRPr="00176460" w:rsidTr="00176460">
        <w:trPr>
          <w:trHeight w:val="9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Račun iz računskog plana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IZVRŠENJE U 2021. GODINI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TEKUĆI PLAN ZA 2022. GODINU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OSTVARENO U IZVJEŠTAJNOM RAZDOBLJU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INDEKS (5/4 x 100)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54.291.962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58.627.594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57.309.953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97,75%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39.828.874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42.249.009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41.635.697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98,55%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33.017.723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34.890.000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34.354.975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98,47%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32.032.441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33.000.000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32.663.527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98,98%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928.602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1.800.000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1.599.547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88,86%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3114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Plaće za posebne uvjete 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56.680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91.901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102,11%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1.367.888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1.600.000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1.583.868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98,99%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1.367.888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1.600.000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1.583.868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98,99%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5.443.263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5.759.009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5.696.854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98,92%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3131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Doprinosi za mirovinsko osiguranje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5.443.263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5.759.009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5.695.845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98,90%</w:t>
            </w:r>
          </w:p>
        </w:tc>
      </w:tr>
      <w:tr w:rsidR="00176460" w:rsidRPr="00176460" w:rsidTr="0017646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13.838.437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16.022.853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15.349.180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95,80%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1.958.594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2.072.500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2.027.062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97,81%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210.846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83.306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104,13%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Naknada za prijevoz, za rad na terenu i odvojeni život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1.617.322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1.850.000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1.815.968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98,16%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119.070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125.000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109.522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87,62%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11.356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17.500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18.266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104,38%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7.284.042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8.371.111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8.182.169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97,74%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261.520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300.000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313.626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104,54%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5.439.280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6.171.111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5.974.139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96,81%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1.468.744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1.800.000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1.799.712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99,98%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Sitan inventar i auto gume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71.780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75.000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68.945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91,93%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42.718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25.747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102,99%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3.997.634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4.452.000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3.934.745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88,38%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190.886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175.000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163.778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93,59%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748.419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1.100.000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907.022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82,46%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41.172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45.000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41.985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93,30%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1.065.805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1.100.000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937.343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85,21%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152.755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85.000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76.741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90,28%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17.857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22.000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19.883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90,38%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281.578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225.000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215.386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95,73%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364.001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500.000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479.229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95,85%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1.135.161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1.200.000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1.093.378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91,11%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43.985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550.612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551.995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100,25%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43.985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550.612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551.995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100,25%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554.182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576.630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653.209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113,28%</w:t>
            </w:r>
          </w:p>
        </w:tc>
      </w:tr>
      <w:tr w:rsidR="00176460" w:rsidRPr="00176460" w:rsidTr="0017646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124.364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117.790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117.827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100,03%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237.703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249.811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269.409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107,85%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73.293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22.998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114,99%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16.379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17.172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85,86%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2.255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66.184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330,92%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21.961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24.029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24.029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78.227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125.000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135.590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108,47%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624.651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355.732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325.076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91,38%</w:t>
            </w:r>
          </w:p>
        </w:tc>
      </w:tr>
      <w:tr w:rsidR="00176460" w:rsidRPr="00176460" w:rsidTr="0017646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3422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Kamate za primljene kredite i zajmove od kreditnih i ostalih financijskih institucija u javnom sektoru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273.324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256.523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240.186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93,63%</w:t>
            </w:r>
          </w:p>
        </w:tc>
      </w:tr>
      <w:tr w:rsidR="00176460" w:rsidRPr="00176460" w:rsidTr="0017646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13.085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14.209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12.657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89,08%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26.389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31.107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88,88%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311.853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41.126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82,25%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Kazne, penali i naknade šteta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3835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Ostale kazne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12.225.777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1.545.500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1.485.255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96,10%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19.989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50.500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50.487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99,97%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4123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Licence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19.989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50.500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50.487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99,97%</w:t>
            </w:r>
          </w:p>
        </w:tc>
      </w:tr>
      <w:tr w:rsidR="00176460" w:rsidRPr="00176460" w:rsidTr="0017646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905.336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1.495.000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1.434.768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95,97%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803.288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1.445.000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1.384.580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95,82%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291.520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410.000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373.746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91,16%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5.597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111,94%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66.812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685.000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630.660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92,07%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Medicinska i laboratorijska oprema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54.644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300.000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317.636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105,88%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4225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Instrumenti, uređaji i strojevi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19.200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371.112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45.000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56.941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126,54%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77.048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40.188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80,38%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Ulaganja u računalne programe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77.048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40.188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80,38%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11.300.452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11.255.130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4521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45.322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4541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Dodatna ulaganja za ostalu nef. Imovinu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OTPLATU ZAJMOVA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1.341.643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1.880.900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1.872.155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99,54%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1.341.643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1.880.900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1.872.155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99,54%</w:t>
            </w:r>
          </w:p>
        </w:tc>
      </w:tr>
      <w:tr w:rsidR="00176460" w:rsidRPr="00176460" w:rsidTr="001764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5422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Otplata glavnice kredita od inst. u 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468.347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1.003.000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994.256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99,13%</w:t>
            </w:r>
          </w:p>
        </w:tc>
      </w:tr>
      <w:tr w:rsidR="00176460" w:rsidRPr="00176460" w:rsidTr="0017646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Otplata glavnice kredita od tuzemnih kreditnih institucija izvan javnog sektora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873.296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877.900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877.899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176460" w:rsidRPr="00176460" w:rsidTr="00176460">
        <w:trPr>
          <w:trHeight w:val="42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67.859.382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62.053.994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60.667.363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60" w:rsidRPr="00176460" w:rsidRDefault="00176460" w:rsidP="00176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764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97,77%</w:t>
            </w:r>
          </w:p>
        </w:tc>
      </w:tr>
    </w:tbl>
    <w:p w:rsidR="00E31C0F" w:rsidRDefault="00E31C0F" w:rsidP="00586EED">
      <w:pPr>
        <w:pStyle w:val="Bezproreda"/>
        <w:jc w:val="both"/>
        <w:rPr>
          <w:noProof/>
          <w:lang w:eastAsia="hr-HR"/>
        </w:rPr>
      </w:pPr>
    </w:p>
    <w:p w:rsidR="00E31C0F" w:rsidRDefault="00E31C0F" w:rsidP="00586EED">
      <w:pPr>
        <w:pStyle w:val="Bezproreda"/>
        <w:jc w:val="both"/>
        <w:rPr>
          <w:noProof/>
          <w:lang w:eastAsia="hr-HR"/>
        </w:rPr>
      </w:pPr>
    </w:p>
    <w:p w:rsidR="00E31C0F" w:rsidRDefault="00E31C0F" w:rsidP="00586EED">
      <w:pPr>
        <w:pStyle w:val="Bezproreda"/>
        <w:jc w:val="both"/>
        <w:rPr>
          <w:noProof/>
          <w:lang w:eastAsia="hr-HR"/>
        </w:rPr>
      </w:pPr>
    </w:p>
    <w:p w:rsidR="00E31C0F" w:rsidRDefault="00E31C0F" w:rsidP="00586EED">
      <w:pPr>
        <w:pStyle w:val="Bezproreda"/>
        <w:jc w:val="both"/>
        <w:rPr>
          <w:noProof/>
          <w:lang w:eastAsia="hr-HR"/>
        </w:rPr>
      </w:pPr>
    </w:p>
    <w:p w:rsidR="00E31C0F" w:rsidRDefault="00E31C0F" w:rsidP="00586EED">
      <w:pPr>
        <w:pStyle w:val="Bezproreda"/>
        <w:jc w:val="both"/>
        <w:rPr>
          <w:noProof/>
          <w:lang w:eastAsia="hr-HR"/>
        </w:rPr>
      </w:pPr>
    </w:p>
    <w:p w:rsidR="00E31C0F" w:rsidRDefault="00E31C0F" w:rsidP="00586EED">
      <w:pPr>
        <w:pStyle w:val="Bezproreda"/>
        <w:jc w:val="both"/>
        <w:rPr>
          <w:noProof/>
          <w:lang w:eastAsia="hr-HR"/>
        </w:rPr>
      </w:pPr>
    </w:p>
    <w:p w:rsidR="00E31C0F" w:rsidRDefault="00E31C0F" w:rsidP="00586EED">
      <w:pPr>
        <w:pStyle w:val="Bezproreda"/>
        <w:jc w:val="both"/>
        <w:rPr>
          <w:sz w:val="24"/>
        </w:rPr>
      </w:pPr>
    </w:p>
    <w:p w:rsidR="0049633C" w:rsidRDefault="0049633C" w:rsidP="00586EED">
      <w:pPr>
        <w:pStyle w:val="Bezproreda"/>
        <w:jc w:val="both"/>
        <w:rPr>
          <w:noProof/>
          <w:lang w:eastAsia="hr-HR"/>
        </w:rPr>
      </w:pPr>
    </w:p>
    <w:p w:rsidR="00990E1C" w:rsidRDefault="00990E1C" w:rsidP="00586EED">
      <w:pPr>
        <w:pStyle w:val="Bezproreda"/>
        <w:jc w:val="both"/>
        <w:rPr>
          <w:noProof/>
          <w:lang w:eastAsia="hr-HR"/>
        </w:rPr>
      </w:pPr>
    </w:p>
    <w:p w:rsidR="00990E1C" w:rsidRDefault="00990E1C" w:rsidP="00586EED">
      <w:pPr>
        <w:pStyle w:val="Bezproreda"/>
        <w:jc w:val="both"/>
        <w:rPr>
          <w:noProof/>
          <w:lang w:eastAsia="hr-HR"/>
        </w:rPr>
      </w:pPr>
    </w:p>
    <w:p w:rsidR="00990E1C" w:rsidRDefault="00990E1C" w:rsidP="00586EED">
      <w:pPr>
        <w:pStyle w:val="Bezproreda"/>
        <w:jc w:val="both"/>
        <w:rPr>
          <w:noProof/>
          <w:lang w:eastAsia="hr-HR"/>
        </w:rPr>
      </w:pPr>
    </w:p>
    <w:p w:rsidR="00990E1C" w:rsidRDefault="00990E1C" w:rsidP="00586EED">
      <w:pPr>
        <w:pStyle w:val="Bezproreda"/>
        <w:jc w:val="both"/>
        <w:rPr>
          <w:noProof/>
          <w:lang w:eastAsia="hr-HR"/>
        </w:rPr>
      </w:pPr>
    </w:p>
    <w:p w:rsidR="00990E1C" w:rsidRDefault="00990E1C" w:rsidP="00586EED">
      <w:pPr>
        <w:pStyle w:val="Bezproreda"/>
        <w:jc w:val="both"/>
        <w:rPr>
          <w:sz w:val="24"/>
        </w:rPr>
      </w:pPr>
    </w:p>
    <w:p w:rsidR="00B81DC4" w:rsidRDefault="00B81DC4" w:rsidP="00595FE0">
      <w:pPr>
        <w:pStyle w:val="Bezproreda"/>
        <w:ind w:hanging="142"/>
        <w:jc w:val="both"/>
        <w:rPr>
          <w:b/>
          <w:bCs/>
          <w:sz w:val="24"/>
        </w:rPr>
      </w:pPr>
    </w:p>
    <w:p w:rsidR="004918F3" w:rsidRDefault="004918F3" w:rsidP="00595FE0">
      <w:pPr>
        <w:ind w:left="-142"/>
        <w:jc w:val="both"/>
        <w:rPr>
          <w:sz w:val="24"/>
        </w:rPr>
      </w:pPr>
    </w:p>
    <w:p w:rsidR="0049633C" w:rsidRDefault="0049633C" w:rsidP="00595FE0">
      <w:pPr>
        <w:ind w:hanging="142"/>
        <w:jc w:val="both"/>
        <w:rPr>
          <w:sz w:val="24"/>
        </w:rPr>
      </w:pPr>
    </w:p>
    <w:p w:rsidR="00D84794" w:rsidRPr="00121AAF" w:rsidRDefault="008830DD" w:rsidP="00D84794">
      <w:pPr>
        <w:jc w:val="both"/>
        <w:rPr>
          <w:rFonts w:ascii="Times New Roman" w:hAnsi="Times New Roman" w:cs="Times New Roman"/>
          <w:b/>
          <w:i/>
        </w:rPr>
      </w:pPr>
      <w:r w:rsidRPr="00121AAF">
        <w:rPr>
          <w:rFonts w:ascii="Times New Roman" w:hAnsi="Times New Roman" w:cs="Times New Roman"/>
          <w:b/>
          <w:i/>
        </w:rPr>
        <w:t xml:space="preserve">2. </w:t>
      </w:r>
      <w:r w:rsidR="00D84794" w:rsidRPr="00121AAF">
        <w:rPr>
          <w:rFonts w:ascii="Times New Roman" w:hAnsi="Times New Roman" w:cs="Times New Roman"/>
          <w:b/>
          <w:i/>
        </w:rPr>
        <w:t>A) obrazloženje provedbe Akcijskog plana pokrića manjka</w:t>
      </w:r>
    </w:p>
    <w:p w:rsidR="00FC324E" w:rsidRPr="003729AC" w:rsidRDefault="00FC324E" w:rsidP="00604049">
      <w:pPr>
        <w:jc w:val="both"/>
        <w:rPr>
          <w:rFonts w:ascii="Times New Roman" w:hAnsi="Times New Roman" w:cs="Times New Roman"/>
          <w:highlight w:val="yellow"/>
        </w:rPr>
      </w:pPr>
      <w:r w:rsidRPr="00121AAF">
        <w:rPr>
          <w:rFonts w:ascii="Times New Roman" w:hAnsi="Times New Roman" w:cs="Times New Roman"/>
        </w:rPr>
        <w:t xml:space="preserve">U Akcijskom Planu sukcesivnog pokrića manjka iz prethodnih razdoblja u iznosu od </w:t>
      </w:r>
      <w:r w:rsidR="00176460">
        <w:rPr>
          <w:rFonts w:ascii="Times New Roman" w:hAnsi="Times New Roman" w:cs="Times New Roman"/>
        </w:rPr>
        <w:t>22</w:t>
      </w:r>
      <w:r w:rsidR="00937600" w:rsidRPr="00121AAF">
        <w:rPr>
          <w:rFonts w:ascii="Times New Roman" w:hAnsi="Times New Roman" w:cs="Times New Roman"/>
        </w:rPr>
        <w:t>.</w:t>
      </w:r>
      <w:r w:rsidR="00176460">
        <w:rPr>
          <w:rFonts w:ascii="Times New Roman" w:hAnsi="Times New Roman" w:cs="Times New Roman"/>
        </w:rPr>
        <w:t>3</w:t>
      </w:r>
      <w:r w:rsidR="00903E90" w:rsidRPr="00121AAF">
        <w:rPr>
          <w:rFonts w:ascii="Times New Roman" w:hAnsi="Times New Roman" w:cs="Times New Roman"/>
        </w:rPr>
        <w:t>4</w:t>
      </w:r>
      <w:r w:rsidR="00176460">
        <w:rPr>
          <w:rFonts w:ascii="Times New Roman" w:hAnsi="Times New Roman" w:cs="Times New Roman"/>
        </w:rPr>
        <w:t>2</w:t>
      </w:r>
      <w:r w:rsidR="00937600" w:rsidRPr="00121AAF">
        <w:rPr>
          <w:rFonts w:ascii="Times New Roman" w:hAnsi="Times New Roman" w:cs="Times New Roman"/>
        </w:rPr>
        <w:t>.</w:t>
      </w:r>
      <w:r w:rsidR="00176460">
        <w:rPr>
          <w:rFonts w:ascii="Times New Roman" w:hAnsi="Times New Roman" w:cs="Times New Roman"/>
        </w:rPr>
        <w:t>02</w:t>
      </w:r>
      <w:r w:rsidR="00903E90" w:rsidRPr="00121AAF">
        <w:rPr>
          <w:rFonts w:ascii="Times New Roman" w:hAnsi="Times New Roman" w:cs="Times New Roman"/>
        </w:rPr>
        <w:t>4</w:t>
      </w:r>
      <w:r w:rsidR="00937600" w:rsidRPr="00121AAF">
        <w:rPr>
          <w:rFonts w:ascii="Times New Roman" w:hAnsi="Times New Roman" w:cs="Times New Roman"/>
        </w:rPr>
        <w:t xml:space="preserve"> </w:t>
      </w:r>
      <w:r w:rsidRPr="00121AAF">
        <w:rPr>
          <w:rFonts w:ascii="Times New Roman" w:hAnsi="Times New Roman" w:cs="Times New Roman"/>
        </w:rPr>
        <w:t>kun</w:t>
      </w:r>
      <w:r w:rsidR="00176460">
        <w:rPr>
          <w:rFonts w:ascii="Times New Roman" w:hAnsi="Times New Roman" w:cs="Times New Roman"/>
        </w:rPr>
        <w:t>e</w:t>
      </w:r>
      <w:r w:rsidRPr="00121AAF">
        <w:rPr>
          <w:rFonts w:ascii="Times New Roman" w:hAnsi="Times New Roman" w:cs="Times New Roman"/>
        </w:rPr>
        <w:t xml:space="preserve"> prema </w:t>
      </w:r>
      <w:r w:rsidRPr="003729AC">
        <w:rPr>
          <w:rFonts w:ascii="Times New Roman" w:hAnsi="Times New Roman" w:cs="Times New Roman"/>
        </w:rPr>
        <w:t xml:space="preserve">Odluci Upravnog </w:t>
      </w:r>
      <w:r w:rsidR="00937600" w:rsidRPr="003729AC">
        <w:rPr>
          <w:rFonts w:ascii="Times New Roman" w:hAnsi="Times New Roman" w:cs="Times New Roman"/>
        </w:rPr>
        <w:t xml:space="preserve">vijeća </w:t>
      </w:r>
      <w:r w:rsidR="00604049" w:rsidRPr="003729AC">
        <w:rPr>
          <w:rFonts w:ascii="Times New Roman" w:hAnsi="Times New Roman" w:cs="Times New Roman"/>
        </w:rPr>
        <w:t xml:space="preserve">broj: </w:t>
      </w:r>
      <w:r w:rsidR="00937600" w:rsidRPr="003729AC">
        <w:rPr>
          <w:rFonts w:ascii="Times New Roman" w:hAnsi="Times New Roman" w:cs="Times New Roman"/>
        </w:rPr>
        <w:t>01-</w:t>
      </w:r>
      <w:r w:rsidR="00903E90" w:rsidRPr="003729AC">
        <w:rPr>
          <w:rFonts w:ascii="Times New Roman" w:hAnsi="Times New Roman" w:cs="Times New Roman"/>
        </w:rPr>
        <w:t>11</w:t>
      </w:r>
      <w:r w:rsidR="003729AC" w:rsidRPr="003729AC">
        <w:rPr>
          <w:rFonts w:ascii="Times New Roman" w:hAnsi="Times New Roman" w:cs="Times New Roman"/>
        </w:rPr>
        <w:t>1</w:t>
      </w:r>
      <w:r w:rsidR="00903E90" w:rsidRPr="003729AC">
        <w:rPr>
          <w:rFonts w:ascii="Times New Roman" w:hAnsi="Times New Roman" w:cs="Times New Roman"/>
        </w:rPr>
        <w:t>4/</w:t>
      </w:r>
      <w:r w:rsidR="003729AC" w:rsidRPr="003729AC">
        <w:rPr>
          <w:rFonts w:ascii="Times New Roman" w:hAnsi="Times New Roman" w:cs="Times New Roman"/>
        </w:rPr>
        <w:t>3</w:t>
      </w:r>
      <w:r w:rsidR="00903E90" w:rsidRPr="003729AC">
        <w:rPr>
          <w:rFonts w:ascii="Times New Roman" w:hAnsi="Times New Roman" w:cs="Times New Roman"/>
        </w:rPr>
        <w:t>-2</w:t>
      </w:r>
      <w:r w:rsidR="003729AC" w:rsidRPr="003729AC">
        <w:rPr>
          <w:rFonts w:ascii="Times New Roman" w:hAnsi="Times New Roman" w:cs="Times New Roman"/>
        </w:rPr>
        <w:t>2</w:t>
      </w:r>
      <w:r w:rsidR="00937600" w:rsidRPr="003729AC">
        <w:rPr>
          <w:rFonts w:ascii="Times New Roman" w:hAnsi="Times New Roman" w:cs="Times New Roman"/>
        </w:rPr>
        <w:t xml:space="preserve"> od </w:t>
      </w:r>
      <w:r w:rsidR="003729AC" w:rsidRPr="003729AC">
        <w:rPr>
          <w:rFonts w:ascii="Times New Roman" w:hAnsi="Times New Roman" w:cs="Times New Roman"/>
        </w:rPr>
        <w:t>28</w:t>
      </w:r>
      <w:r w:rsidR="00937600" w:rsidRPr="003729AC">
        <w:rPr>
          <w:rFonts w:ascii="Times New Roman" w:hAnsi="Times New Roman" w:cs="Times New Roman"/>
        </w:rPr>
        <w:t xml:space="preserve">. </w:t>
      </w:r>
      <w:r w:rsidR="003729AC" w:rsidRPr="003729AC">
        <w:rPr>
          <w:rFonts w:ascii="Times New Roman" w:hAnsi="Times New Roman" w:cs="Times New Roman"/>
        </w:rPr>
        <w:t>lipnja</w:t>
      </w:r>
      <w:r w:rsidR="00937600" w:rsidRPr="003729AC">
        <w:rPr>
          <w:rFonts w:ascii="Times New Roman" w:hAnsi="Times New Roman" w:cs="Times New Roman"/>
        </w:rPr>
        <w:t xml:space="preserve"> 202</w:t>
      </w:r>
      <w:r w:rsidR="003729AC" w:rsidRPr="003729AC">
        <w:rPr>
          <w:rFonts w:ascii="Times New Roman" w:hAnsi="Times New Roman" w:cs="Times New Roman"/>
        </w:rPr>
        <w:t>2.</w:t>
      </w:r>
      <w:r w:rsidR="00937600" w:rsidRPr="003729AC">
        <w:rPr>
          <w:rFonts w:ascii="Times New Roman" w:hAnsi="Times New Roman" w:cs="Times New Roman"/>
        </w:rPr>
        <w:t xml:space="preserve"> godine</w:t>
      </w:r>
      <w:r w:rsidRPr="00121AAF">
        <w:rPr>
          <w:rFonts w:ascii="Times New Roman" w:hAnsi="Times New Roman" w:cs="Times New Roman"/>
        </w:rPr>
        <w:t>, za 20</w:t>
      </w:r>
      <w:r w:rsidR="00937600" w:rsidRPr="00121AAF">
        <w:rPr>
          <w:rFonts w:ascii="Times New Roman" w:hAnsi="Times New Roman" w:cs="Times New Roman"/>
        </w:rPr>
        <w:t>2</w:t>
      </w:r>
      <w:r w:rsidR="00176460">
        <w:rPr>
          <w:rFonts w:ascii="Times New Roman" w:hAnsi="Times New Roman" w:cs="Times New Roman"/>
        </w:rPr>
        <w:t>2</w:t>
      </w:r>
      <w:r w:rsidRPr="00121AAF">
        <w:rPr>
          <w:rFonts w:ascii="Times New Roman" w:hAnsi="Times New Roman" w:cs="Times New Roman"/>
        </w:rPr>
        <w:t xml:space="preserve"> godinu predviđeno je pokriće manjka u iznosu od </w:t>
      </w:r>
      <w:r w:rsidR="00176460">
        <w:rPr>
          <w:rFonts w:ascii="Times New Roman" w:hAnsi="Times New Roman" w:cs="Times New Roman"/>
        </w:rPr>
        <w:t>6</w:t>
      </w:r>
      <w:r w:rsidR="00937600" w:rsidRPr="00121AAF">
        <w:rPr>
          <w:rFonts w:ascii="Times New Roman" w:hAnsi="Times New Roman" w:cs="Times New Roman"/>
        </w:rPr>
        <w:t>.</w:t>
      </w:r>
      <w:r w:rsidR="00176460">
        <w:rPr>
          <w:rFonts w:ascii="Times New Roman" w:hAnsi="Times New Roman" w:cs="Times New Roman"/>
        </w:rPr>
        <w:t>4</w:t>
      </w:r>
      <w:r w:rsidR="00903E90" w:rsidRPr="00121AAF">
        <w:rPr>
          <w:rFonts w:ascii="Times New Roman" w:hAnsi="Times New Roman" w:cs="Times New Roman"/>
        </w:rPr>
        <w:t>00</w:t>
      </w:r>
      <w:r w:rsidR="00937600" w:rsidRPr="00121AAF">
        <w:rPr>
          <w:rFonts w:ascii="Times New Roman" w:hAnsi="Times New Roman" w:cs="Times New Roman"/>
        </w:rPr>
        <w:t>.</w:t>
      </w:r>
      <w:r w:rsidR="00903E90" w:rsidRPr="00121AAF">
        <w:rPr>
          <w:rFonts w:ascii="Times New Roman" w:hAnsi="Times New Roman" w:cs="Times New Roman"/>
        </w:rPr>
        <w:t>000</w:t>
      </w:r>
      <w:r w:rsidR="00937600" w:rsidRPr="00121AAF">
        <w:rPr>
          <w:rFonts w:ascii="Times New Roman" w:hAnsi="Times New Roman" w:cs="Times New Roman"/>
        </w:rPr>
        <w:t xml:space="preserve"> </w:t>
      </w:r>
      <w:r w:rsidR="00604049" w:rsidRPr="00121AAF">
        <w:rPr>
          <w:rFonts w:ascii="Times New Roman" w:hAnsi="Times New Roman" w:cs="Times New Roman"/>
        </w:rPr>
        <w:t>kun</w:t>
      </w:r>
      <w:r w:rsidR="00903E90" w:rsidRPr="00121AAF">
        <w:rPr>
          <w:rFonts w:ascii="Times New Roman" w:hAnsi="Times New Roman" w:cs="Times New Roman"/>
        </w:rPr>
        <w:t>a</w:t>
      </w:r>
      <w:r w:rsidRPr="00121AAF">
        <w:rPr>
          <w:rFonts w:ascii="Times New Roman" w:hAnsi="Times New Roman" w:cs="Times New Roman"/>
        </w:rPr>
        <w:t xml:space="preserve">. Manjak se predviđao pokriti uklanjanjem utvrđenih uzroka nastanka negativnog poslovanja, te putem pet </w:t>
      </w:r>
      <w:r w:rsidR="00A639E5" w:rsidRPr="00121AAF">
        <w:rPr>
          <w:rFonts w:ascii="Times New Roman" w:hAnsi="Times New Roman" w:cs="Times New Roman"/>
        </w:rPr>
        <w:t xml:space="preserve">skupina </w:t>
      </w:r>
      <w:r w:rsidRPr="00121AAF">
        <w:rPr>
          <w:rFonts w:ascii="Times New Roman" w:hAnsi="Times New Roman" w:cs="Times New Roman"/>
        </w:rPr>
        <w:t>mjera za stabilno održivo poslovanje</w:t>
      </w:r>
      <w:r w:rsidR="00A639E5" w:rsidRPr="00121AAF">
        <w:rPr>
          <w:rFonts w:ascii="Times New Roman" w:hAnsi="Times New Roman" w:cs="Times New Roman"/>
        </w:rPr>
        <w:t>.</w:t>
      </w:r>
    </w:p>
    <w:p w:rsidR="00A639E5" w:rsidRPr="00176460" w:rsidRDefault="00A639E5" w:rsidP="0017646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176460">
        <w:rPr>
          <w:rFonts w:ascii="Times New Roman" w:hAnsi="Times New Roman" w:cs="Times New Roman"/>
          <w:b/>
        </w:rPr>
        <w:t>Administrativnim mjerama</w:t>
      </w:r>
    </w:p>
    <w:p w:rsidR="00903E90" w:rsidRPr="00121AAF" w:rsidRDefault="00903E90" w:rsidP="0074248E">
      <w:pPr>
        <w:jc w:val="both"/>
        <w:rPr>
          <w:rFonts w:ascii="Times New Roman" w:hAnsi="Times New Roman" w:cs="Times New Roman"/>
        </w:rPr>
      </w:pPr>
      <w:r w:rsidRPr="00121AAF">
        <w:rPr>
          <w:rFonts w:ascii="Times New Roman" w:hAnsi="Times New Roman" w:cs="Times New Roman"/>
        </w:rPr>
        <w:t>Sukladno postulatima novog modela ugovaranja, tj. umjesto dosadašnjeg povijesno-političkog principa inzistirati na određenju „limita“ temeljem izvršenja zdravstvenih usluga vrednovanih stvarnom cijenom koštanja pruženih zdravstvenih usluga. Takvo ugovaranje trebalo bi uvažiti sve specifičnosti, količinu i vrstu pruženih usluga. Inzistirati na povećanju cijene smještaja kroničnog psihijatrijskog pacijenta, a s obzirom da sadašnje ni približno ne odgovaraju stvarnim troškovima. Također, potrebno je inzistirati na otpisu do sada nastalog duga za manje izvršeni rad od HZZO-a, a s obzirom na činjenicu nerealno određene cijene zdravstvenih usluga i izvanredne okolnosti poslovanja s obzirom na svjetsku pandemiju, a koje se i dalje nastavljaju.</w:t>
      </w:r>
    </w:p>
    <w:p w:rsidR="00A22B75" w:rsidRPr="00121AAF" w:rsidRDefault="00A639E5" w:rsidP="0074248E">
      <w:pPr>
        <w:jc w:val="both"/>
        <w:rPr>
          <w:rFonts w:ascii="Times New Roman" w:hAnsi="Times New Roman" w:cs="Times New Roman"/>
        </w:rPr>
      </w:pPr>
      <w:r w:rsidRPr="00121AAF">
        <w:rPr>
          <w:rFonts w:ascii="Times New Roman" w:hAnsi="Times New Roman" w:cs="Times New Roman"/>
        </w:rPr>
        <w:t xml:space="preserve">Međutim, </w:t>
      </w:r>
      <w:r w:rsidR="00A22B75" w:rsidRPr="00121AAF">
        <w:rPr>
          <w:rFonts w:ascii="Times New Roman" w:hAnsi="Times New Roman" w:cs="Times New Roman"/>
          <w:b/>
          <w:i/>
        </w:rPr>
        <w:t>Prihodi od HZZO – a</w:t>
      </w:r>
      <w:r w:rsidR="00A22B75" w:rsidRPr="00121AAF">
        <w:rPr>
          <w:rFonts w:ascii="Times New Roman" w:hAnsi="Times New Roman" w:cs="Times New Roman"/>
        </w:rPr>
        <w:t xml:space="preserve"> nisu realizirani jer nije došlo do </w:t>
      </w:r>
      <w:r w:rsidR="00903E90" w:rsidRPr="00121AAF">
        <w:rPr>
          <w:rFonts w:ascii="Times New Roman" w:hAnsi="Times New Roman" w:cs="Times New Roman"/>
        </w:rPr>
        <w:t>povećanja cijene ležanja kroničnog psihijatrijskog pacijenta. Također nije došlo ni do otpisa duga za manje izvršeni rad, a što bi dovelo do mogućnosti prihodovanja dobivenih sredstava</w:t>
      </w:r>
      <w:r w:rsidR="00B47581" w:rsidRPr="00121AAF">
        <w:rPr>
          <w:rFonts w:ascii="Times New Roman" w:hAnsi="Times New Roman" w:cs="Times New Roman"/>
        </w:rPr>
        <w:t>.</w:t>
      </w:r>
      <w:r w:rsidR="00903E90" w:rsidRPr="00121AAF">
        <w:rPr>
          <w:rFonts w:ascii="Times New Roman" w:hAnsi="Times New Roman" w:cs="Times New Roman"/>
        </w:rPr>
        <w:t xml:space="preserve"> Na taj način poslovanje u ovoj godini bi bilo sukladno planiranom.</w:t>
      </w:r>
    </w:p>
    <w:p w:rsidR="00A22B75" w:rsidRPr="00121AAF" w:rsidRDefault="00A22B75" w:rsidP="00EE3281">
      <w:pPr>
        <w:jc w:val="both"/>
        <w:rPr>
          <w:rFonts w:ascii="Times New Roman" w:hAnsi="Times New Roman" w:cs="Times New Roman"/>
          <w:b/>
        </w:rPr>
      </w:pPr>
      <w:r w:rsidRPr="00121AAF">
        <w:rPr>
          <w:rFonts w:ascii="Times New Roman" w:hAnsi="Times New Roman" w:cs="Times New Roman"/>
          <w:b/>
        </w:rPr>
        <w:t>2. Organizacijske mjere</w:t>
      </w:r>
    </w:p>
    <w:p w:rsidR="00176460" w:rsidRDefault="00176460" w:rsidP="00151BDE">
      <w:pPr>
        <w:rPr>
          <w:rFonts w:ascii="Times New Roman" w:hAnsi="Times New Roman" w:cs="Times New Roman"/>
        </w:rPr>
      </w:pPr>
      <w:r w:rsidRPr="00176460">
        <w:rPr>
          <w:rFonts w:ascii="Times New Roman" w:hAnsi="Times New Roman" w:cs="Times New Roman"/>
        </w:rPr>
        <w:t xml:space="preserve">Organizacijske mjere se provode s ciljem postizanja racionalnijeg, jednostavnijeg i učinkovitijeg upravljanja bolnicom. Značajnim smanjenjem broja zaposlenih i racionalnijim korištenjem ljudskih resursa, kao i reorganizacijom upravljanja Bolnica je već značajno poboljšala upravljanje i smanjila troškove rada i poslovanja uopće. </w:t>
      </w:r>
    </w:p>
    <w:p w:rsidR="00A22B75" w:rsidRPr="00121AAF" w:rsidRDefault="00A22B75" w:rsidP="00151BDE">
      <w:pPr>
        <w:rPr>
          <w:rFonts w:ascii="Times New Roman" w:hAnsi="Times New Roman" w:cs="Times New Roman"/>
          <w:b/>
        </w:rPr>
      </w:pPr>
      <w:r w:rsidRPr="00121AAF">
        <w:rPr>
          <w:rFonts w:ascii="Times New Roman" w:hAnsi="Times New Roman" w:cs="Times New Roman"/>
          <w:b/>
        </w:rPr>
        <w:t>3.</w:t>
      </w:r>
      <w:r w:rsidRPr="00121AA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21AAF">
        <w:rPr>
          <w:rFonts w:ascii="Times New Roman" w:hAnsi="Times New Roman" w:cs="Times New Roman"/>
          <w:b/>
        </w:rPr>
        <w:t xml:space="preserve">Mjere </w:t>
      </w:r>
      <w:r w:rsidR="00121AAF" w:rsidRPr="00121AAF">
        <w:rPr>
          <w:rFonts w:ascii="Times New Roman" w:hAnsi="Times New Roman" w:cs="Times New Roman"/>
          <w:b/>
        </w:rPr>
        <w:t>racionalizacije poslovanja</w:t>
      </w:r>
    </w:p>
    <w:p w:rsidR="00176460" w:rsidRPr="00176460" w:rsidRDefault="00176460" w:rsidP="00176460">
      <w:pPr>
        <w:jc w:val="both"/>
        <w:rPr>
          <w:rFonts w:ascii="Times New Roman" w:hAnsi="Times New Roman" w:cs="Times New Roman"/>
        </w:rPr>
      </w:pPr>
      <w:r w:rsidRPr="00176460">
        <w:rPr>
          <w:rFonts w:ascii="Times New Roman" w:hAnsi="Times New Roman" w:cs="Times New Roman"/>
        </w:rPr>
        <w:t>Mjere racionalizacije troškova poslovanja imaju za cilj snižavanje izdataka i rashoda poslovanja na svim mjestima njihovog nastanka.</w:t>
      </w:r>
    </w:p>
    <w:p w:rsidR="00176460" w:rsidRPr="00176460" w:rsidRDefault="00176460" w:rsidP="00176460">
      <w:pPr>
        <w:jc w:val="both"/>
        <w:rPr>
          <w:rFonts w:ascii="Times New Roman" w:hAnsi="Times New Roman" w:cs="Times New Roman"/>
        </w:rPr>
      </w:pPr>
      <w:r w:rsidRPr="00176460">
        <w:rPr>
          <w:rFonts w:ascii="Times New Roman" w:hAnsi="Times New Roman" w:cs="Times New Roman"/>
        </w:rPr>
        <w:t xml:space="preserve">Racionalizacija troškova se vrši već godinama, te je teško očekivati velike uštede. </w:t>
      </w:r>
    </w:p>
    <w:p w:rsidR="00176460" w:rsidRPr="00176460" w:rsidRDefault="00176460" w:rsidP="00176460">
      <w:pPr>
        <w:jc w:val="both"/>
        <w:rPr>
          <w:rFonts w:ascii="Times New Roman" w:hAnsi="Times New Roman" w:cs="Times New Roman"/>
        </w:rPr>
      </w:pPr>
      <w:r w:rsidRPr="00176460">
        <w:rPr>
          <w:rFonts w:ascii="Times New Roman" w:hAnsi="Times New Roman" w:cs="Times New Roman"/>
        </w:rPr>
        <w:t>Energetska obnova je završena u potpunosti u prosincu 2021. godine, te se očekuju uštede na potrošnji energije.</w:t>
      </w:r>
    </w:p>
    <w:p w:rsidR="001B1C83" w:rsidRPr="00121AAF" w:rsidRDefault="00176460" w:rsidP="00176460">
      <w:pPr>
        <w:jc w:val="both"/>
        <w:rPr>
          <w:rFonts w:ascii="Times New Roman" w:hAnsi="Times New Roman" w:cs="Times New Roman"/>
        </w:rPr>
      </w:pPr>
      <w:r w:rsidRPr="00176460">
        <w:rPr>
          <w:rFonts w:ascii="Times New Roman" w:hAnsi="Times New Roman" w:cs="Times New Roman"/>
        </w:rPr>
        <w:t>Kontinuiranim praćenjem stanja zaliha s ciljem povećanja koeficijenta obrtaja povećati će se likvidnost i solventnost. a eventualno smanjenje potrošnje lijekova može se postići sve većom upotrebom generičkih lijekova i medicinskog potrošnog materijala.</w:t>
      </w:r>
    </w:p>
    <w:p w:rsidR="00121AAF" w:rsidRDefault="00121AAF" w:rsidP="00D84794">
      <w:pPr>
        <w:pStyle w:val="Bezproreda"/>
        <w:ind w:left="426"/>
        <w:rPr>
          <w:b/>
        </w:rPr>
      </w:pPr>
    </w:p>
    <w:p w:rsidR="00D84794" w:rsidRPr="001B1C83" w:rsidRDefault="000C4205" w:rsidP="00121AAF">
      <w:pPr>
        <w:pStyle w:val="Bezproreda"/>
        <w:rPr>
          <w:rFonts w:ascii="Times New Roman" w:hAnsi="Times New Roman" w:cs="Times New Roman"/>
        </w:rPr>
      </w:pPr>
      <w:r w:rsidRPr="001B1C83">
        <w:rPr>
          <w:rFonts w:ascii="Times New Roman" w:hAnsi="Times New Roman" w:cs="Times New Roman"/>
          <w:b/>
        </w:rPr>
        <w:t xml:space="preserve">4. Mjere za </w:t>
      </w:r>
      <w:r w:rsidR="00121AAF" w:rsidRPr="001B1C83">
        <w:rPr>
          <w:rFonts w:ascii="Times New Roman" w:hAnsi="Times New Roman" w:cs="Times New Roman"/>
          <w:b/>
        </w:rPr>
        <w:t>povećanje prihoda</w:t>
      </w:r>
    </w:p>
    <w:p w:rsidR="00121AAF" w:rsidRDefault="00121AAF" w:rsidP="00D84794">
      <w:pPr>
        <w:jc w:val="both"/>
        <w:rPr>
          <w:rFonts w:ascii="Times New Roman" w:hAnsi="Times New Roman" w:cs="Times New Roman"/>
        </w:rPr>
      </w:pPr>
    </w:p>
    <w:p w:rsidR="00176460" w:rsidRPr="00176460" w:rsidRDefault="00176460" w:rsidP="00176460">
      <w:pPr>
        <w:jc w:val="both"/>
        <w:rPr>
          <w:rFonts w:ascii="Times New Roman" w:hAnsi="Times New Roman" w:cs="Times New Roman"/>
        </w:rPr>
      </w:pPr>
      <w:r w:rsidRPr="00176460">
        <w:rPr>
          <w:rFonts w:ascii="Times New Roman" w:hAnsi="Times New Roman" w:cs="Times New Roman"/>
        </w:rPr>
        <w:t>Potrebno je inzistirati na pokriću nastalih manjkova u prethodnim razdobljima, a s obzirom da Bolnica nije u mogućnosti sama vratiti navedene dugove.</w:t>
      </w:r>
    </w:p>
    <w:p w:rsidR="00176460" w:rsidRPr="00176460" w:rsidRDefault="00176460" w:rsidP="00176460">
      <w:pPr>
        <w:jc w:val="both"/>
        <w:rPr>
          <w:rFonts w:ascii="Times New Roman" w:hAnsi="Times New Roman" w:cs="Times New Roman"/>
        </w:rPr>
      </w:pPr>
      <w:r w:rsidRPr="00176460">
        <w:rPr>
          <w:rFonts w:ascii="Times New Roman" w:hAnsi="Times New Roman" w:cs="Times New Roman"/>
        </w:rPr>
        <w:t xml:space="preserve">Bolnica će navedenim mjerama u sljedeće dvije godine stabilizirati svoje poslovanje ne stvaranjem novih gubitaka, ali će biti potrebno naći posebno rješenje plaćanja starih dugovanja. </w:t>
      </w:r>
    </w:p>
    <w:p w:rsidR="00176460" w:rsidRPr="00176460" w:rsidRDefault="00176460" w:rsidP="00176460">
      <w:pPr>
        <w:jc w:val="both"/>
        <w:rPr>
          <w:rFonts w:ascii="Times New Roman" w:hAnsi="Times New Roman" w:cs="Times New Roman"/>
        </w:rPr>
      </w:pPr>
      <w:r w:rsidRPr="00176460">
        <w:rPr>
          <w:rFonts w:ascii="Times New Roman" w:hAnsi="Times New Roman" w:cs="Times New Roman"/>
        </w:rPr>
        <w:lastRenderedPageBreak/>
        <w:t>Potrebno je inzistirati na povećanju cijene zdravstvenih usluga, posebno cijene dnevnog smještaja kroničnog psihijatrijskog pacijenta pošto je ista nerealna. Tek povećanjem cijena ovih usluga moguće je povećanje prihoda od HZZO-a.</w:t>
      </w:r>
    </w:p>
    <w:p w:rsidR="00176460" w:rsidRPr="00176460" w:rsidRDefault="00176460" w:rsidP="00176460">
      <w:pPr>
        <w:jc w:val="both"/>
        <w:rPr>
          <w:rFonts w:ascii="Times New Roman" w:hAnsi="Times New Roman" w:cs="Times New Roman"/>
        </w:rPr>
      </w:pPr>
      <w:r w:rsidRPr="00176460">
        <w:rPr>
          <w:rFonts w:ascii="Times New Roman" w:hAnsi="Times New Roman" w:cs="Times New Roman"/>
        </w:rPr>
        <w:t xml:space="preserve">Povećanje kapaciteta i ugovaranje dodatnih kreveta palijativne skrbi. Trenutno je u Bolnici 6 kreveta palijativne skrbi, te bi se isti kapaciteti mogli proširiti na 40 kreveta. </w:t>
      </w:r>
    </w:p>
    <w:p w:rsidR="00176460" w:rsidRPr="001B1C83" w:rsidRDefault="00176460" w:rsidP="00176460">
      <w:pPr>
        <w:jc w:val="both"/>
        <w:rPr>
          <w:rFonts w:ascii="Times New Roman" w:hAnsi="Times New Roman" w:cs="Times New Roman"/>
        </w:rPr>
      </w:pPr>
      <w:r w:rsidRPr="00176460">
        <w:rPr>
          <w:rFonts w:ascii="Times New Roman" w:hAnsi="Times New Roman" w:cs="Times New Roman"/>
        </w:rPr>
        <w:t>Ugovaranje ukupno 19 dodatnih kreveta socijalnog smještaja očekuje se tijekom 2022. godine. S obzirom na povećanje cijene smještaja i to će doprinijeti dodatnim prihodima.</w:t>
      </w:r>
    </w:p>
    <w:p w:rsidR="00121AAF" w:rsidRPr="001B1C83" w:rsidRDefault="001B1C83" w:rsidP="00121AAF">
      <w:pPr>
        <w:jc w:val="both"/>
        <w:rPr>
          <w:rFonts w:ascii="Times New Roman" w:hAnsi="Times New Roman" w:cs="Times New Roman"/>
        </w:rPr>
      </w:pPr>
      <w:r w:rsidRPr="001B1C83">
        <w:rPr>
          <w:rFonts w:ascii="Times New Roman" w:hAnsi="Times New Roman" w:cs="Times New Roman"/>
        </w:rPr>
        <w:t>Očekuje se i povećanje cijene samog smještaja.</w:t>
      </w:r>
      <w:r w:rsidR="002C6EB3">
        <w:rPr>
          <w:rFonts w:ascii="Times New Roman" w:hAnsi="Times New Roman" w:cs="Times New Roman"/>
        </w:rPr>
        <w:t xml:space="preserve"> </w:t>
      </w:r>
    </w:p>
    <w:p w:rsidR="001B1C83" w:rsidRPr="001B1C83" w:rsidRDefault="002C6EB3" w:rsidP="00121A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Tijekom 2022. godine vršena je sanacija od strane Ministarstva zdravstva za troškove lijekova i medicinskog potrošnog materijala u iznosu od </w:t>
      </w:r>
      <w:r w:rsidR="00737A20">
        <w:rPr>
          <w:rFonts w:ascii="Times New Roman" w:hAnsi="Times New Roman" w:cs="Times New Roman"/>
        </w:rPr>
        <w:t>1.953.992 kn</w:t>
      </w:r>
      <w:r w:rsidR="001B1C83" w:rsidRPr="001B1C83">
        <w:rPr>
          <w:rFonts w:ascii="Times New Roman" w:hAnsi="Times New Roman" w:cs="Times New Roman"/>
        </w:rPr>
        <w:t>.</w:t>
      </w:r>
    </w:p>
    <w:p w:rsidR="00D84794" w:rsidRPr="001B1C83" w:rsidRDefault="00D84794" w:rsidP="001B1C83">
      <w:pPr>
        <w:rPr>
          <w:rFonts w:ascii="Times New Roman" w:hAnsi="Times New Roman" w:cs="Times New Roman"/>
          <w:b/>
          <w:bCs/>
        </w:rPr>
      </w:pPr>
      <w:r w:rsidRPr="001B1C83">
        <w:rPr>
          <w:rFonts w:ascii="Times New Roman" w:hAnsi="Times New Roman" w:cs="Times New Roman"/>
          <w:b/>
          <w:bCs/>
        </w:rPr>
        <w:t>5.</w:t>
      </w:r>
      <w:r w:rsidR="00151BDE" w:rsidRPr="001B1C83">
        <w:rPr>
          <w:rFonts w:ascii="Times New Roman" w:hAnsi="Times New Roman" w:cs="Times New Roman"/>
          <w:b/>
          <w:bCs/>
        </w:rPr>
        <w:t xml:space="preserve"> </w:t>
      </w:r>
      <w:r w:rsidR="001B1C83" w:rsidRPr="001B1C83">
        <w:rPr>
          <w:rFonts w:ascii="Times New Roman" w:hAnsi="Times New Roman" w:cs="Times New Roman"/>
          <w:b/>
          <w:bCs/>
        </w:rPr>
        <w:t>Investicijske mjere</w:t>
      </w:r>
      <w:r w:rsidRPr="001B1C83">
        <w:rPr>
          <w:rFonts w:ascii="Times New Roman" w:hAnsi="Times New Roman" w:cs="Times New Roman"/>
          <w:b/>
          <w:bCs/>
        </w:rPr>
        <w:t xml:space="preserve"> </w:t>
      </w:r>
    </w:p>
    <w:p w:rsidR="002C6EB3" w:rsidRDefault="002C6EB3" w:rsidP="001B1C83">
      <w:pPr>
        <w:jc w:val="both"/>
        <w:rPr>
          <w:rFonts w:ascii="Times New Roman" w:hAnsi="Times New Roman" w:cs="Times New Roman"/>
        </w:rPr>
      </w:pPr>
      <w:r w:rsidRPr="002C6EB3">
        <w:rPr>
          <w:rFonts w:ascii="Times New Roman" w:hAnsi="Times New Roman" w:cs="Times New Roman"/>
        </w:rPr>
        <w:t>Izrađeni su projekti energetske obnove centralne tri zgrade za smještaj pacijenata, a koji su financirani od strane Europske banke za obnovu i razvoj i HBOR kroz ELENA program. Očekuje se otvaranje novih natječaja za obnovu zgrada kroz EU fondove, te bi se prijavili ovi projekti za dodjelu sredstava.</w:t>
      </w:r>
    </w:p>
    <w:p w:rsidR="002C6EB3" w:rsidRDefault="002C6EB3" w:rsidP="001B1C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Objava natječaja za energetsku obnovu očekuje se 2023. godine i Bolnica ima sve potrebne projekte za apliciranje na isti. Ukoliko se izvrši obnova i preostale tri centralne zgrade za smještaj pacijenata dodatno će se smanjiti troškovi za energiju.</w:t>
      </w:r>
    </w:p>
    <w:p w:rsidR="001B1C83" w:rsidRPr="001B1C83" w:rsidRDefault="001B1C83" w:rsidP="001B1C83">
      <w:pPr>
        <w:jc w:val="both"/>
        <w:rPr>
          <w:rFonts w:ascii="Times New Roman" w:hAnsi="Times New Roman" w:cs="Times New Roman"/>
          <w:b/>
        </w:rPr>
      </w:pPr>
      <w:r w:rsidRPr="001B1C83">
        <w:rPr>
          <w:rFonts w:ascii="Times New Roman" w:hAnsi="Times New Roman" w:cs="Times New Roman"/>
          <w:b/>
        </w:rPr>
        <w:t>6. Mjere praćenja i izvješćivanja</w:t>
      </w:r>
    </w:p>
    <w:p w:rsidR="002C6EB3" w:rsidRDefault="002C6EB3" w:rsidP="001B1C83">
      <w:pPr>
        <w:jc w:val="both"/>
        <w:rPr>
          <w:rFonts w:ascii="Times New Roman" w:hAnsi="Times New Roman" w:cs="Times New Roman"/>
        </w:rPr>
      </w:pPr>
      <w:r w:rsidRPr="002C6EB3">
        <w:rPr>
          <w:rFonts w:ascii="Times New Roman" w:hAnsi="Times New Roman" w:cs="Times New Roman"/>
        </w:rPr>
        <w:t>Mjere praćenja i izvješćivanja imaju za cilj uspostavu troškovnog računovodstva gdje bi se praćenjem prihoda i rashoda po organizacijskim jedinicama one ustrojile kao mjesta financijske odgovornosti za poslovanje.</w:t>
      </w:r>
    </w:p>
    <w:p w:rsidR="001B1C83" w:rsidRDefault="002C6EB3" w:rsidP="001B1C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Navedene mjere su uspostavljene, ali je tijekom 2022. godine došlo do značajne inflacije na svjetskoj razini što je dovelo do povećanja materijalnih troškova</w:t>
      </w:r>
      <w:r w:rsidR="001B1C83">
        <w:rPr>
          <w:rFonts w:ascii="Times New Roman" w:hAnsi="Times New Roman" w:cs="Times New Roman"/>
        </w:rPr>
        <w:t>.</w:t>
      </w:r>
      <w:r w:rsidR="001B1C83" w:rsidRPr="001B1C83">
        <w:rPr>
          <w:rFonts w:ascii="Times New Roman" w:hAnsi="Times New Roman" w:cs="Times New Roman"/>
        </w:rPr>
        <w:t xml:space="preserve">                            </w:t>
      </w:r>
    </w:p>
    <w:p w:rsidR="001B1C83" w:rsidRPr="001B1C83" w:rsidRDefault="001B1C83" w:rsidP="001B1C83">
      <w:pPr>
        <w:jc w:val="both"/>
        <w:rPr>
          <w:rFonts w:ascii="Times New Roman" w:hAnsi="Times New Roman" w:cs="Times New Roman"/>
        </w:rPr>
      </w:pPr>
    </w:p>
    <w:p w:rsidR="001B1C83" w:rsidRDefault="001B1C83" w:rsidP="001B1C83">
      <w:pPr>
        <w:jc w:val="both"/>
      </w:pPr>
    </w:p>
    <w:p w:rsidR="001B1C83" w:rsidRDefault="001B1C83" w:rsidP="001B1C83">
      <w:pPr>
        <w:jc w:val="both"/>
      </w:pPr>
    </w:p>
    <w:p w:rsidR="001B1C83" w:rsidRDefault="001B1C83" w:rsidP="001B1C83">
      <w:pPr>
        <w:jc w:val="both"/>
      </w:pPr>
    </w:p>
    <w:p w:rsidR="002C6EB3" w:rsidRDefault="002C6EB3" w:rsidP="001B1C83">
      <w:pPr>
        <w:jc w:val="both"/>
      </w:pPr>
    </w:p>
    <w:p w:rsidR="002C6EB3" w:rsidRDefault="002C6EB3" w:rsidP="001B1C83">
      <w:pPr>
        <w:jc w:val="both"/>
      </w:pPr>
    </w:p>
    <w:p w:rsidR="002C6EB3" w:rsidRDefault="002C6EB3" w:rsidP="001B1C83">
      <w:pPr>
        <w:jc w:val="both"/>
      </w:pPr>
    </w:p>
    <w:p w:rsidR="002C6EB3" w:rsidRDefault="002C6EB3" w:rsidP="001B1C83">
      <w:pPr>
        <w:jc w:val="both"/>
      </w:pPr>
    </w:p>
    <w:p w:rsidR="002C6EB3" w:rsidRDefault="002C6EB3" w:rsidP="001B1C83">
      <w:pPr>
        <w:jc w:val="both"/>
      </w:pPr>
    </w:p>
    <w:p w:rsidR="002C6EB3" w:rsidRDefault="002C6EB3" w:rsidP="001B1C83">
      <w:pPr>
        <w:jc w:val="both"/>
      </w:pPr>
    </w:p>
    <w:p w:rsidR="002C6EB3" w:rsidRDefault="002C6EB3" w:rsidP="001B1C83">
      <w:pPr>
        <w:jc w:val="both"/>
      </w:pPr>
    </w:p>
    <w:p w:rsidR="00807B8F" w:rsidRPr="007F27C1" w:rsidRDefault="008C6303" w:rsidP="00EF10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27C1">
        <w:rPr>
          <w:rFonts w:ascii="Times New Roman" w:hAnsi="Times New Roman" w:cs="Times New Roman"/>
          <w:b/>
          <w:i/>
        </w:rPr>
        <w:lastRenderedPageBreak/>
        <w:t>B</w:t>
      </w:r>
      <w:r w:rsidR="00E36462" w:rsidRPr="007F27C1">
        <w:rPr>
          <w:rFonts w:ascii="Times New Roman" w:hAnsi="Times New Roman" w:cs="Times New Roman"/>
          <w:b/>
          <w:i/>
        </w:rPr>
        <w:t>)</w:t>
      </w:r>
      <w:r w:rsidR="00E36462" w:rsidRPr="007F27C1">
        <w:rPr>
          <w:rFonts w:ascii="Times New Roman" w:hAnsi="Times New Roman" w:cs="Times New Roman"/>
          <w:i/>
        </w:rPr>
        <w:t xml:space="preserve"> </w:t>
      </w:r>
      <w:r w:rsidR="007F27C1">
        <w:rPr>
          <w:rFonts w:ascii="Times New Roman" w:hAnsi="Times New Roman" w:cs="Times New Roman"/>
          <w:b/>
          <w:i/>
          <w:sz w:val="24"/>
          <w:szCs w:val="24"/>
        </w:rPr>
        <w:t>OSTVARENI PRIHODI I PRIMICI</w:t>
      </w:r>
      <w:r w:rsidR="00053D7F" w:rsidRPr="007F27C1">
        <w:rPr>
          <w:rFonts w:ascii="Times New Roman" w:hAnsi="Times New Roman" w:cs="Times New Roman"/>
          <w:b/>
          <w:i/>
          <w:sz w:val="24"/>
          <w:szCs w:val="24"/>
        </w:rPr>
        <w:t xml:space="preserve"> za razdoblje od 01. 01. do 31. 12. 20</w:t>
      </w:r>
      <w:r w:rsidR="00271E10" w:rsidRPr="007F27C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C6EB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53D7F" w:rsidRPr="007F27C1">
        <w:rPr>
          <w:rFonts w:ascii="Times New Roman" w:hAnsi="Times New Roman" w:cs="Times New Roman"/>
          <w:b/>
          <w:i/>
          <w:sz w:val="24"/>
          <w:szCs w:val="24"/>
        </w:rPr>
        <w:t xml:space="preserve">. godine iznose </w:t>
      </w:r>
      <w:r w:rsidR="0095423E">
        <w:rPr>
          <w:rFonts w:ascii="Times New Roman" w:hAnsi="Times New Roman" w:cs="Times New Roman"/>
          <w:b/>
          <w:i/>
          <w:sz w:val="24"/>
          <w:szCs w:val="24"/>
        </w:rPr>
        <w:t>59</w:t>
      </w:r>
      <w:r w:rsidR="00753ADA" w:rsidRPr="007F27C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5423E">
        <w:rPr>
          <w:rFonts w:ascii="Times New Roman" w:hAnsi="Times New Roman" w:cs="Times New Roman"/>
          <w:b/>
          <w:i/>
          <w:sz w:val="24"/>
          <w:szCs w:val="24"/>
        </w:rPr>
        <w:t>363</w:t>
      </w:r>
      <w:r w:rsidR="00753ADA" w:rsidRPr="007F27C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5423E">
        <w:rPr>
          <w:rFonts w:ascii="Times New Roman" w:hAnsi="Times New Roman" w:cs="Times New Roman"/>
          <w:b/>
          <w:i/>
          <w:sz w:val="24"/>
          <w:szCs w:val="24"/>
        </w:rPr>
        <w:t>121</w:t>
      </w:r>
      <w:r w:rsidR="00753ADA" w:rsidRPr="007F27C1">
        <w:rPr>
          <w:rFonts w:ascii="Times New Roman" w:hAnsi="Times New Roman" w:cs="Times New Roman"/>
          <w:b/>
          <w:i/>
          <w:sz w:val="24"/>
          <w:szCs w:val="24"/>
        </w:rPr>
        <w:t xml:space="preserve"> kun</w:t>
      </w:r>
      <w:r w:rsidR="004D065C">
        <w:rPr>
          <w:rFonts w:ascii="Times New Roman" w:hAnsi="Times New Roman" w:cs="Times New Roman"/>
          <w:b/>
          <w:i/>
          <w:sz w:val="24"/>
          <w:szCs w:val="24"/>
        </w:rPr>
        <w:t>u</w:t>
      </w:r>
    </w:p>
    <w:p w:rsidR="00053D7F" w:rsidRPr="003049EE" w:rsidRDefault="00053D7F" w:rsidP="00EF100D">
      <w:pPr>
        <w:ind w:firstLine="142"/>
        <w:jc w:val="both"/>
        <w:rPr>
          <w:rFonts w:ascii="Times New Roman" w:hAnsi="Times New Roman" w:cs="Times New Roman"/>
        </w:rPr>
      </w:pPr>
      <w:r w:rsidRPr="003049EE">
        <w:rPr>
          <w:rFonts w:ascii="Times New Roman" w:hAnsi="Times New Roman" w:cs="Times New Roman"/>
        </w:rPr>
        <w:t xml:space="preserve"> </w:t>
      </w:r>
      <w:r w:rsidR="00E36462" w:rsidRPr="003049EE">
        <w:rPr>
          <w:rFonts w:ascii="Times New Roman" w:hAnsi="Times New Roman" w:cs="Times New Roman"/>
        </w:rPr>
        <w:t xml:space="preserve">                 </w:t>
      </w:r>
      <w:r w:rsidRPr="003049EE">
        <w:rPr>
          <w:rFonts w:ascii="Times New Roman" w:hAnsi="Times New Roman" w:cs="Times New Roman"/>
        </w:rPr>
        <w:t xml:space="preserve">Prihodi poslovanja                                                                                  </w:t>
      </w:r>
      <w:r w:rsidR="001B1C83" w:rsidRPr="003049EE">
        <w:rPr>
          <w:rFonts w:ascii="Times New Roman" w:hAnsi="Times New Roman" w:cs="Times New Roman"/>
        </w:rPr>
        <w:t xml:space="preserve">     5</w:t>
      </w:r>
      <w:r w:rsidR="002C6EB3">
        <w:rPr>
          <w:rFonts w:ascii="Times New Roman" w:hAnsi="Times New Roman" w:cs="Times New Roman"/>
        </w:rPr>
        <w:t>8</w:t>
      </w:r>
      <w:r w:rsidR="00A0443D" w:rsidRPr="003049EE">
        <w:rPr>
          <w:rFonts w:ascii="Times New Roman" w:hAnsi="Times New Roman" w:cs="Times New Roman"/>
        </w:rPr>
        <w:t>.</w:t>
      </w:r>
      <w:r w:rsidR="002C6EB3">
        <w:rPr>
          <w:rFonts w:ascii="Times New Roman" w:hAnsi="Times New Roman" w:cs="Times New Roman"/>
        </w:rPr>
        <w:t>556</w:t>
      </w:r>
      <w:r w:rsidR="00A0443D" w:rsidRPr="003049EE">
        <w:rPr>
          <w:rFonts w:ascii="Times New Roman" w:hAnsi="Times New Roman" w:cs="Times New Roman"/>
        </w:rPr>
        <w:t>.</w:t>
      </w:r>
      <w:r w:rsidR="002C6EB3">
        <w:rPr>
          <w:rFonts w:ascii="Times New Roman" w:hAnsi="Times New Roman" w:cs="Times New Roman"/>
        </w:rPr>
        <w:t>084</w:t>
      </w:r>
      <w:r w:rsidR="00A0443D" w:rsidRPr="003049EE">
        <w:rPr>
          <w:rFonts w:ascii="Times New Roman" w:hAnsi="Times New Roman" w:cs="Times New Roman"/>
        </w:rPr>
        <w:t xml:space="preserve"> </w:t>
      </w:r>
      <w:r w:rsidRPr="003049EE">
        <w:rPr>
          <w:rFonts w:ascii="Times New Roman" w:hAnsi="Times New Roman" w:cs="Times New Roman"/>
        </w:rPr>
        <w:t>kn</w:t>
      </w:r>
    </w:p>
    <w:p w:rsidR="00053D7F" w:rsidRPr="003049EE" w:rsidRDefault="00E36462" w:rsidP="00EF100D">
      <w:pPr>
        <w:ind w:firstLine="142"/>
        <w:jc w:val="both"/>
        <w:rPr>
          <w:rFonts w:ascii="Times New Roman" w:hAnsi="Times New Roman" w:cs="Times New Roman"/>
        </w:rPr>
      </w:pPr>
      <w:r w:rsidRPr="003049EE">
        <w:rPr>
          <w:rFonts w:ascii="Times New Roman" w:hAnsi="Times New Roman" w:cs="Times New Roman"/>
        </w:rPr>
        <w:t xml:space="preserve">                  </w:t>
      </w:r>
      <w:r w:rsidR="00053D7F" w:rsidRPr="003049EE">
        <w:rPr>
          <w:rFonts w:ascii="Times New Roman" w:hAnsi="Times New Roman" w:cs="Times New Roman"/>
        </w:rPr>
        <w:t xml:space="preserve">Prihodi od prodaje nefinancijske imovine                                                   </w:t>
      </w:r>
      <w:r w:rsidR="00A0443D" w:rsidRPr="003049EE">
        <w:rPr>
          <w:rFonts w:ascii="Times New Roman" w:hAnsi="Times New Roman" w:cs="Times New Roman"/>
        </w:rPr>
        <w:t xml:space="preserve"> </w:t>
      </w:r>
      <w:r w:rsidR="001B1C83" w:rsidRPr="003049EE">
        <w:rPr>
          <w:rFonts w:ascii="Times New Roman" w:hAnsi="Times New Roman" w:cs="Times New Roman"/>
        </w:rPr>
        <w:t xml:space="preserve">  </w:t>
      </w:r>
      <w:r w:rsidR="007F27C1">
        <w:rPr>
          <w:rFonts w:ascii="Times New Roman" w:hAnsi="Times New Roman" w:cs="Times New Roman"/>
        </w:rPr>
        <w:t xml:space="preserve">    </w:t>
      </w:r>
      <w:r w:rsidR="001B1C83" w:rsidRPr="003049EE">
        <w:rPr>
          <w:rFonts w:ascii="Times New Roman" w:hAnsi="Times New Roman" w:cs="Times New Roman"/>
        </w:rPr>
        <w:t>1</w:t>
      </w:r>
      <w:r w:rsidR="002C6EB3">
        <w:rPr>
          <w:rFonts w:ascii="Times New Roman" w:hAnsi="Times New Roman" w:cs="Times New Roman"/>
        </w:rPr>
        <w:t>2</w:t>
      </w:r>
      <w:r w:rsidR="001B1C83" w:rsidRPr="003049EE">
        <w:rPr>
          <w:rFonts w:ascii="Times New Roman" w:hAnsi="Times New Roman" w:cs="Times New Roman"/>
        </w:rPr>
        <w:t>.</w:t>
      </w:r>
      <w:r w:rsidR="002C6EB3">
        <w:rPr>
          <w:rFonts w:ascii="Times New Roman" w:hAnsi="Times New Roman" w:cs="Times New Roman"/>
        </w:rPr>
        <w:t>180</w:t>
      </w:r>
      <w:r w:rsidR="00A0443D" w:rsidRPr="003049EE">
        <w:rPr>
          <w:rFonts w:ascii="Times New Roman" w:hAnsi="Times New Roman" w:cs="Times New Roman"/>
        </w:rPr>
        <w:t xml:space="preserve"> </w:t>
      </w:r>
      <w:r w:rsidR="00883A19" w:rsidRPr="003049EE">
        <w:rPr>
          <w:rFonts w:ascii="Times New Roman" w:hAnsi="Times New Roman" w:cs="Times New Roman"/>
        </w:rPr>
        <w:t>k</w:t>
      </w:r>
      <w:r w:rsidR="00053D7F" w:rsidRPr="003049EE">
        <w:rPr>
          <w:rFonts w:ascii="Times New Roman" w:hAnsi="Times New Roman" w:cs="Times New Roman"/>
        </w:rPr>
        <w:t>n</w:t>
      </w:r>
    </w:p>
    <w:p w:rsidR="00053D7F" w:rsidRPr="003049EE" w:rsidRDefault="00E36462" w:rsidP="00EF100D">
      <w:pPr>
        <w:ind w:firstLine="142"/>
        <w:jc w:val="both"/>
        <w:rPr>
          <w:rFonts w:ascii="Times New Roman" w:hAnsi="Times New Roman" w:cs="Times New Roman"/>
          <w:u w:val="single"/>
        </w:rPr>
      </w:pPr>
      <w:r w:rsidRPr="003049EE">
        <w:rPr>
          <w:rFonts w:ascii="Times New Roman" w:hAnsi="Times New Roman" w:cs="Times New Roman"/>
        </w:rPr>
        <w:t xml:space="preserve">               </w:t>
      </w:r>
      <w:r w:rsidRPr="003049EE">
        <w:rPr>
          <w:rFonts w:ascii="Times New Roman" w:hAnsi="Times New Roman" w:cs="Times New Roman"/>
          <w:u w:val="single"/>
        </w:rPr>
        <w:t xml:space="preserve">   </w:t>
      </w:r>
      <w:r w:rsidR="00053D7F" w:rsidRPr="003049EE">
        <w:rPr>
          <w:rFonts w:ascii="Times New Roman" w:hAnsi="Times New Roman" w:cs="Times New Roman"/>
          <w:u w:val="single"/>
        </w:rPr>
        <w:t xml:space="preserve">Primici od financijske imovine                                                                  </w:t>
      </w:r>
      <w:r w:rsidR="001B1C83" w:rsidRPr="003049EE">
        <w:rPr>
          <w:rFonts w:ascii="Times New Roman" w:hAnsi="Times New Roman" w:cs="Times New Roman"/>
          <w:u w:val="single"/>
        </w:rPr>
        <w:t xml:space="preserve">    </w:t>
      </w:r>
      <w:r w:rsidR="002C6EB3">
        <w:rPr>
          <w:rFonts w:ascii="Times New Roman" w:hAnsi="Times New Roman" w:cs="Times New Roman"/>
          <w:u w:val="single"/>
        </w:rPr>
        <w:t xml:space="preserve">   </w:t>
      </w:r>
      <w:r w:rsidR="001B1C83" w:rsidRPr="003049EE">
        <w:rPr>
          <w:rFonts w:ascii="Times New Roman" w:hAnsi="Times New Roman" w:cs="Times New Roman"/>
          <w:u w:val="single"/>
        </w:rPr>
        <w:t>7</w:t>
      </w:r>
      <w:r w:rsidR="002C6EB3">
        <w:rPr>
          <w:rFonts w:ascii="Times New Roman" w:hAnsi="Times New Roman" w:cs="Times New Roman"/>
          <w:u w:val="single"/>
        </w:rPr>
        <w:t>94</w:t>
      </w:r>
      <w:r w:rsidR="001B1C83" w:rsidRPr="003049EE">
        <w:rPr>
          <w:rFonts w:ascii="Times New Roman" w:hAnsi="Times New Roman" w:cs="Times New Roman"/>
          <w:u w:val="single"/>
        </w:rPr>
        <w:t>.</w:t>
      </w:r>
      <w:r w:rsidR="002C6EB3">
        <w:rPr>
          <w:rFonts w:ascii="Times New Roman" w:hAnsi="Times New Roman" w:cs="Times New Roman"/>
          <w:u w:val="single"/>
        </w:rPr>
        <w:t>857</w:t>
      </w:r>
      <w:r w:rsidR="00A0443D" w:rsidRPr="003049EE">
        <w:rPr>
          <w:rFonts w:ascii="Times New Roman" w:hAnsi="Times New Roman" w:cs="Times New Roman"/>
          <w:u w:val="single"/>
        </w:rPr>
        <w:t xml:space="preserve"> </w:t>
      </w:r>
      <w:bookmarkStart w:id="3" w:name="_Hlk64571731"/>
      <w:r w:rsidR="00053D7F" w:rsidRPr="003049EE">
        <w:rPr>
          <w:rFonts w:ascii="Times New Roman" w:hAnsi="Times New Roman" w:cs="Times New Roman"/>
          <w:u w:val="single"/>
        </w:rPr>
        <w:t>kn</w:t>
      </w:r>
      <w:bookmarkEnd w:id="3"/>
    </w:p>
    <w:p w:rsidR="00807B8F" w:rsidRDefault="00053D7F" w:rsidP="00EF100D">
      <w:pPr>
        <w:jc w:val="both"/>
        <w:rPr>
          <w:rFonts w:ascii="Times New Roman" w:hAnsi="Times New Roman" w:cs="Times New Roman"/>
          <w:b/>
        </w:rPr>
      </w:pPr>
      <w:r w:rsidRPr="003049E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="00E36462" w:rsidRPr="003049EE">
        <w:rPr>
          <w:rFonts w:ascii="Times New Roman" w:hAnsi="Times New Roman" w:cs="Times New Roman"/>
          <w:b/>
        </w:rPr>
        <w:t xml:space="preserve">                  </w:t>
      </w:r>
      <w:bookmarkStart w:id="4" w:name="_Hlk64571781"/>
      <w:r w:rsidR="007F27C1">
        <w:rPr>
          <w:rFonts w:ascii="Times New Roman" w:hAnsi="Times New Roman" w:cs="Times New Roman"/>
          <w:b/>
        </w:rPr>
        <w:t xml:space="preserve"> </w:t>
      </w:r>
      <w:r w:rsidR="002C6EB3">
        <w:rPr>
          <w:rFonts w:ascii="Times New Roman" w:hAnsi="Times New Roman" w:cs="Times New Roman"/>
          <w:b/>
        </w:rPr>
        <w:t>59</w:t>
      </w:r>
      <w:r w:rsidR="00A0443D" w:rsidRPr="003049EE">
        <w:rPr>
          <w:rFonts w:ascii="Times New Roman" w:hAnsi="Times New Roman" w:cs="Times New Roman"/>
          <w:b/>
        </w:rPr>
        <w:t>.</w:t>
      </w:r>
      <w:r w:rsidR="002C6EB3">
        <w:rPr>
          <w:rFonts w:ascii="Times New Roman" w:hAnsi="Times New Roman" w:cs="Times New Roman"/>
          <w:b/>
        </w:rPr>
        <w:t>363</w:t>
      </w:r>
      <w:r w:rsidR="00A0443D" w:rsidRPr="003049EE">
        <w:rPr>
          <w:rFonts w:ascii="Times New Roman" w:hAnsi="Times New Roman" w:cs="Times New Roman"/>
          <w:b/>
        </w:rPr>
        <w:t>.</w:t>
      </w:r>
      <w:r w:rsidR="002C6EB3">
        <w:rPr>
          <w:rFonts w:ascii="Times New Roman" w:hAnsi="Times New Roman" w:cs="Times New Roman"/>
          <w:b/>
        </w:rPr>
        <w:t>121</w:t>
      </w:r>
      <w:r w:rsidR="00A0443D" w:rsidRPr="003049EE">
        <w:rPr>
          <w:rFonts w:ascii="Times New Roman" w:hAnsi="Times New Roman" w:cs="Times New Roman"/>
        </w:rPr>
        <w:t xml:space="preserve"> </w:t>
      </w:r>
      <w:bookmarkEnd w:id="4"/>
      <w:r w:rsidR="00A0443D" w:rsidRPr="003049EE">
        <w:rPr>
          <w:rFonts w:ascii="Times New Roman" w:hAnsi="Times New Roman" w:cs="Times New Roman"/>
          <w:b/>
        </w:rPr>
        <w:t>kn</w:t>
      </w:r>
    </w:p>
    <w:p w:rsidR="001D3FF6" w:rsidRDefault="001D3FF6" w:rsidP="00EF100D">
      <w:pPr>
        <w:jc w:val="both"/>
        <w:rPr>
          <w:rFonts w:ascii="Times New Roman" w:hAnsi="Times New Roman" w:cs="Times New Roman"/>
          <w:b/>
        </w:rPr>
      </w:pPr>
    </w:p>
    <w:p w:rsidR="001D3FF6" w:rsidRPr="00737A20" w:rsidRDefault="001D3FF6" w:rsidP="00EF100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 – </w:t>
      </w:r>
      <w:r w:rsidRPr="00737A20">
        <w:rPr>
          <w:rFonts w:ascii="Times New Roman" w:hAnsi="Times New Roman" w:cs="Times New Roman"/>
          <w:b/>
        </w:rPr>
        <w:t>PRIHODI POSLOVANJA</w:t>
      </w:r>
    </w:p>
    <w:p w:rsidR="009E3C11" w:rsidRPr="00737A20" w:rsidRDefault="009E3C11" w:rsidP="00EF100D">
      <w:pPr>
        <w:jc w:val="both"/>
        <w:rPr>
          <w:rFonts w:ascii="Times New Roman" w:hAnsi="Times New Roman" w:cs="Times New Roman"/>
        </w:rPr>
      </w:pPr>
      <w:r w:rsidRPr="00737A20">
        <w:rPr>
          <w:rFonts w:ascii="Times New Roman" w:hAnsi="Times New Roman" w:cs="Times New Roman"/>
        </w:rPr>
        <w:t xml:space="preserve">Prihodi </w:t>
      </w:r>
      <w:r w:rsidR="000722C1" w:rsidRPr="00737A20">
        <w:rPr>
          <w:rFonts w:ascii="Times New Roman" w:hAnsi="Times New Roman" w:cs="Times New Roman"/>
        </w:rPr>
        <w:t xml:space="preserve">i primici </w:t>
      </w:r>
      <w:r w:rsidRPr="00737A20">
        <w:rPr>
          <w:rFonts w:ascii="Times New Roman" w:hAnsi="Times New Roman" w:cs="Times New Roman"/>
        </w:rPr>
        <w:t xml:space="preserve">poslovanja ostvareni u izvještajnom razdoblju iznose </w:t>
      </w:r>
      <w:r w:rsidR="002C6EB3" w:rsidRPr="00737A20">
        <w:rPr>
          <w:rFonts w:ascii="Times New Roman" w:hAnsi="Times New Roman" w:cs="Times New Roman"/>
        </w:rPr>
        <w:t>59</w:t>
      </w:r>
      <w:r w:rsidR="00A0443D" w:rsidRPr="00737A20">
        <w:rPr>
          <w:rFonts w:ascii="Times New Roman" w:hAnsi="Times New Roman" w:cs="Times New Roman"/>
          <w:bCs/>
        </w:rPr>
        <w:t>.</w:t>
      </w:r>
      <w:r w:rsidR="002C6EB3" w:rsidRPr="00737A20">
        <w:rPr>
          <w:rFonts w:ascii="Times New Roman" w:hAnsi="Times New Roman" w:cs="Times New Roman"/>
          <w:bCs/>
        </w:rPr>
        <w:t>363</w:t>
      </w:r>
      <w:r w:rsidR="00A0443D" w:rsidRPr="00737A20">
        <w:rPr>
          <w:rFonts w:ascii="Times New Roman" w:hAnsi="Times New Roman" w:cs="Times New Roman"/>
          <w:bCs/>
        </w:rPr>
        <w:t>.</w:t>
      </w:r>
      <w:r w:rsidR="002C6EB3" w:rsidRPr="00737A20">
        <w:rPr>
          <w:rFonts w:ascii="Times New Roman" w:hAnsi="Times New Roman" w:cs="Times New Roman"/>
          <w:bCs/>
        </w:rPr>
        <w:t>121</w:t>
      </w:r>
      <w:r w:rsidR="00A0443D" w:rsidRPr="00737A20">
        <w:rPr>
          <w:rFonts w:ascii="Times New Roman" w:hAnsi="Times New Roman" w:cs="Times New Roman"/>
          <w:bCs/>
        </w:rPr>
        <w:t xml:space="preserve"> </w:t>
      </w:r>
      <w:r w:rsidR="00EF100D" w:rsidRPr="00737A20">
        <w:rPr>
          <w:rFonts w:ascii="Times New Roman" w:hAnsi="Times New Roman" w:cs="Times New Roman"/>
          <w:bCs/>
        </w:rPr>
        <w:t>kuna</w:t>
      </w:r>
      <w:r w:rsidR="00EF100D" w:rsidRPr="00737A20">
        <w:rPr>
          <w:rFonts w:ascii="Times New Roman" w:hAnsi="Times New Roman" w:cs="Times New Roman"/>
        </w:rPr>
        <w:t xml:space="preserve"> </w:t>
      </w:r>
      <w:r w:rsidR="006149B3" w:rsidRPr="00737A20">
        <w:rPr>
          <w:rFonts w:ascii="Times New Roman" w:hAnsi="Times New Roman" w:cs="Times New Roman"/>
        </w:rPr>
        <w:t>–</w:t>
      </w:r>
      <w:r w:rsidRPr="00737A20">
        <w:rPr>
          <w:rFonts w:ascii="Times New Roman" w:hAnsi="Times New Roman" w:cs="Times New Roman"/>
        </w:rPr>
        <w:t xml:space="preserve"> </w:t>
      </w:r>
      <w:r w:rsidR="004D065C" w:rsidRPr="00737A20">
        <w:rPr>
          <w:rFonts w:ascii="Times New Roman" w:hAnsi="Times New Roman" w:cs="Times New Roman"/>
        </w:rPr>
        <w:t>86</w:t>
      </w:r>
      <w:r w:rsidR="007F27C1" w:rsidRPr="00737A20">
        <w:rPr>
          <w:rFonts w:ascii="Times New Roman" w:hAnsi="Times New Roman" w:cs="Times New Roman"/>
        </w:rPr>
        <w:t>,</w:t>
      </w:r>
      <w:r w:rsidR="004D065C" w:rsidRPr="00737A20">
        <w:rPr>
          <w:rFonts w:ascii="Times New Roman" w:hAnsi="Times New Roman" w:cs="Times New Roman"/>
        </w:rPr>
        <w:t>72</w:t>
      </w:r>
      <w:r w:rsidR="00F504DD" w:rsidRPr="00737A20">
        <w:rPr>
          <w:rFonts w:ascii="Times New Roman" w:hAnsi="Times New Roman" w:cs="Times New Roman"/>
        </w:rPr>
        <w:t xml:space="preserve"> </w:t>
      </w:r>
      <w:r w:rsidRPr="00737A20">
        <w:rPr>
          <w:rFonts w:ascii="Times New Roman" w:hAnsi="Times New Roman" w:cs="Times New Roman"/>
        </w:rPr>
        <w:t xml:space="preserve">% od plana koji iznosi </w:t>
      </w:r>
      <w:r w:rsidR="00F504DD" w:rsidRPr="00737A20">
        <w:rPr>
          <w:rFonts w:ascii="Times New Roman" w:hAnsi="Times New Roman" w:cs="Times New Roman"/>
        </w:rPr>
        <w:t>6</w:t>
      </w:r>
      <w:r w:rsidR="004D065C" w:rsidRPr="00737A20">
        <w:rPr>
          <w:rFonts w:ascii="Times New Roman" w:hAnsi="Times New Roman" w:cs="Times New Roman"/>
        </w:rPr>
        <w:t>8</w:t>
      </w:r>
      <w:r w:rsidR="006149B3" w:rsidRPr="00737A20">
        <w:rPr>
          <w:rFonts w:ascii="Times New Roman" w:hAnsi="Times New Roman" w:cs="Times New Roman"/>
        </w:rPr>
        <w:t>.</w:t>
      </w:r>
      <w:r w:rsidR="004D065C" w:rsidRPr="00737A20">
        <w:rPr>
          <w:rFonts w:ascii="Times New Roman" w:hAnsi="Times New Roman" w:cs="Times New Roman"/>
        </w:rPr>
        <w:t>453</w:t>
      </w:r>
      <w:r w:rsidR="006149B3" w:rsidRPr="00737A20">
        <w:rPr>
          <w:rFonts w:ascii="Times New Roman" w:hAnsi="Times New Roman" w:cs="Times New Roman"/>
        </w:rPr>
        <w:t>.</w:t>
      </w:r>
      <w:r w:rsidR="004D065C" w:rsidRPr="00737A20">
        <w:rPr>
          <w:rFonts w:ascii="Times New Roman" w:hAnsi="Times New Roman" w:cs="Times New Roman"/>
        </w:rPr>
        <w:t>994</w:t>
      </w:r>
      <w:r w:rsidR="006149B3" w:rsidRPr="00737A20">
        <w:rPr>
          <w:rFonts w:ascii="Times New Roman" w:hAnsi="Times New Roman" w:cs="Times New Roman"/>
        </w:rPr>
        <w:t xml:space="preserve"> </w:t>
      </w:r>
      <w:r w:rsidRPr="00737A20">
        <w:rPr>
          <w:rFonts w:ascii="Times New Roman" w:hAnsi="Times New Roman" w:cs="Times New Roman"/>
        </w:rPr>
        <w:t>kuna po grupama:</w:t>
      </w:r>
    </w:p>
    <w:p w:rsidR="008E1D7F" w:rsidRPr="00737A20" w:rsidRDefault="009E3C11" w:rsidP="00F11BAE">
      <w:pPr>
        <w:pStyle w:val="Bezproreda"/>
        <w:jc w:val="both"/>
        <w:rPr>
          <w:rFonts w:ascii="Times New Roman" w:hAnsi="Times New Roman" w:cs="Times New Roman"/>
          <w:b/>
        </w:rPr>
      </w:pPr>
      <w:r w:rsidRPr="00737A20">
        <w:rPr>
          <w:rFonts w:ascii="Times New Roman" w:hAnsi="Times New Roman" w:cs="Times New Roman"/>
          <w:b/>
        </w:rPr>
        <w:t>63 – Pomoći iz inozemstva i od subjekata unutar opće države</w:t>
      </w:r>
    </w:p>
    <w:p w:rsidR="001D3FF6" w:rsidRPr="00737A20" w:rsidRDefault="001D3FF6" w:rsidP="00F11BAE">
      <w:pPr>
        <w:pStyle w:val="Bezproreda"/>
        <w:jc w:val="both"/>
        <w:rPr>
          <w:rFonts w:ascii="Times New Roman" w:hAnsi="Times New Roman" w:cs="Times New Roman"/>
        </w:rPr>
      </w:pPr>
    </w:p>
    <w:p w:rsidR="009E3C11" w:rsidRPr="00737A20" w:rsidRDefault="009E3C11" w:rsidP="00383B60">
      <w:pPr>
        <w:pStyle w:val="Bezproreda"/>
        <w:jc w:val="both"/>
        <w:rPr>
          <w:rFonts w:ascii="Times New Roman" w:hAnsi="Times New Roman" w:cs="Times New Roman"/>
        </w:rPr>
      </w:pPr>
      <w:r w:rsidRPr="00737A20">
        <w:rPr>
          <w:rFonts w:ascii="Times New Roman" w:hAnsi="Times New Roman" w:cs="Times New Roman"/>
        </w:rPr>
        <w:t xml:space="preserve">Prihodi od pomoći ostvareni su u iznosu od </w:t>
      </w:r>
      <w:r w:rsidR="0095423E" w:rsidRPr="00737A20">
        <w:rPr>
          <w:rFonts w:ascii="Times New Roman" w:hAnsi="Times New Roman" w:cs="Times New Roman"/>
        </w:rPr>
        <w:t>7</w:t>
      </w:r>
      <w:r w:rsidR="0010489C" w:rsidRPr="00737A20">
        <w:rPr>
          <w:rFonts w:ascii="Times New Roman" w:hAnsi="Times New Roman" w:cs="Times New Roman"/>
        </w:rPr>
        <w:t>.</w:t>
      </w:r>
      <w:r w:rsidR="0095423E" w:rsidRPr="00737A20">
        <w:rPr>
          <w:rFonts w:ascii="Times New Roman" w:hAnsi="Times New Roman" w:cs="Times New Roman"/>
        </w:rPr>
        <w:t>9</w:t>
      </w:r>
      <w:r w:rsidR="00753ADA" w:rsidRPr="00737A20">
        <w:rPr>
          <w:rFonts w:ascii="Times New Roman" w:hAnsi="Times New Roman" w:cs="Times New Roman"/>
        </w:rPr>
        <w:t>0</w:t>
      </w:r>
      <w:r w:rsidR="0095423E" w:rsidRPr="00737A20">
        <w:rPr>
          <w:rFonts w:ascii="Times New Roman" w:hAnsi="Times New Roman" w:cs="Times New Roman"/>
        </w:rPr>
        <w:t>7</w:t>
      </w:r>
      <w:r w:rsidR="0010489C" w:rsidRPr="00737A20">
        <w:rPr>
          <w:rFonts w:ascii="Times New Roman" w:hAnsi="Times New Roman" w:cs="Times New Roman"/>
        </w:rPr>
        <w:t>.</w:t>
      </w:r>
      <w:r w:rsidR="0095423E" w:rsidRPr="00737A20">
        <w:rPr>
          <w:rFonts w:ascii="Times New Roman" w:hAnsi="Times New Roman" w:cs="Times New Roman"/>
        </w:rPr>
        <w:t>266</w:t>
      </w:r>
      <w:r w:rsidR="0010489C" w:rsidRPr="00737A20">
        <w:rPr>
          <w:rFonts w:ascii="Times New Roman" w:hAnsi="Times New Roman" w:cs="Times New Roman"/>
        </w:rPr>
        <w:t xml:space="preserve"> </w:t>
      </w:r>
      <w:r w:rsidRPr="00737A20">
        <w:rPr>
          <w:rFonts w:ascii="Times New Roman" w:hAnsi="Times New Roman" w:cs="Times New Roman"/>
        </w:rPr>
        <w:t xml:space="preserve">– </w:t>
      </w:r>
      <w:r w:rsidR="0010489C" w:rsidRPr="00737A20">
        <w:rPr>
          <w:rFonts w:ascii="Times New Roman" w:hAnsi="Times New Roman" w:cs="Times New Roman"/>
        </w:rPr>
        <w:t>1</w:t>
      </w:r>
      <w:r w:rsidR="0095423E" w:rsidRPr="00737A20">
        <w:rPr>
          <w:rFonts w:ascii="Times New Roman" w:hAnsi="Times New Roman" w:cs="Times New Roman"/>
        </w:rPr>
        <w:t>43</w:t>
      </w:r>
      <w:r w:rsidR="007F27C1" w:rsidRPr="00737A20">
        <w:rPr>
          <w:rFonts w:ascii="Times New Roman" w:hAnsi="Times New Roman" w:cs="Times New Roman"/>
        </w:rPr>
        <w:t>,</w:t>
      </w:r>
      <w:r w:rsidR="0095423E" w:rsidRPr="00737A20">
        <w:rPr>
          <w:rFonts w:ascii="Times New Roman" w:hAnsi="Times New Roman" w:cs="Times New Roman"/>
        </w:rPr>
        <w:t>18</w:t>
      </w:r>
      <w:r w:rsidR="0010489C" w:rsidRPr="00737A20">
        <w:rPr>
          <w:rFonts w:ascii="Times New Roman" w:hAnsi="Times New Roman" w:cs="Times New Roman"/>
        </w:rPr>
        <w:t xml:space="preserve"> </w:t>
      </w:r>
      <w:r w:rsidRPr="00737A20">
        <w:rPr>
          <w:rFonts w:ascii="Times New Roman" w:hAnsi="Times New Roman" w:cs="Times New Roman"/>
        </w:rPr>
        <w:t>% od planiranih</w:t>
      </w:r>
      <w:r w:rsidR="008E1D7F" w:rsidRPr="00737A20">
        <w:rPr>
          <w:rFonts w:ascii="Times New Roman" w:hAnsi="Times New Roman" w:cs="Times New Roman"/>
        </w:rPr>
        <w:t xml:space="preserve"> </w:t>
      </w:r>
      <w:r w:rsidR="0095423E" w:rsidRPr="00737A20">
        <w:rPr>
          <w:rFonts w:ascii="Times New Roman" w:hAnsi="Times New Roman" w:cs="Times New Roman"/>
        </w:rPr>
        <w:t>5</w:t>
      </w:r>
      <w:r w:rsidR="0010489C" w:rsidRPr="00737A20">
        <w:rPr>
          <w:rFonts w:ascii="Times New Roman" w:hAnsi="Times New Roman" w:cs="Times New Roman"/>
        </w:rPr>
        <w:t>.</w:t>
      </w:r>
      <w:r w:rsidR="0095423E" w:rsidRPr="00737A20">
        <w:rPr>
          <w:rFonts w:ascii="Times New Roman" w:hAnsi="Times New Roman" w:cs="Times New Roman"/>
        </w:rPr>
        <w:t>522</w:t>
      </w:r>
      <w:r w:rsidR="0010489C" w:rsidRPr="00737A20">
        <w:rPr>
          <w:rFonts w:ascii="Times New Roman" w:hAnsi="Times New Roman" w:cs="Times New Roman"/>
        </w:rPr>
        <w:t>.</w:t>
      </w:r>
      <w:r w:rsidR="0095423E" w:rsidRPr="00737A20">
        <w:rPr>
          <w:rFonts w:ascii="Times New Roman" w:hAnsi="Times New Roman" w:cs="Times New Roman"/>
        </w:rPr>
        <w:t>767</w:t>
      </w:r>
      <w:r w:rsidR="0010489C" w:rsidRPr="00737A20">
        <w:rPr>
          <w:rFonts w:ascii="Times New Roman" w:hAnsi="Times New Roman" w:cs="Times New Roman"/>
        </w:rPr>
        <w:t xml:space="preserve"> </w:t>
      </w:r>
      <w:r w:rsidRPr="00737A20">
        <w:rPr>
          <w:rFonts w:ascii="Times New Roman" w:hAnsi="Times New Roman" w:cs="Times New Roman"/>
        </w:rPr>
        <w:t xml:space="preserve">kuna, a </w:t>
      </w:r>
      <w:r w:rsidR="00753ADA" w:rsidRPr="00737A20">
        <w:rPr>
          <w:rFonts w:ascii="Times New Roman" w:hAnsi="Times New Roman" w:cs="Times New Roman"/>
        </w:rPr>
        <w:t>o</w:t>
      </w:r>
      <w:r w:rsidRPr="00737A20">
        <w:rPr>
          <w:rFonts w:ascii="Times New Roman" w:hAnsi="Times New Roman" w:cs="Times New Roman"/>
        </w:rPr>
        <w:t>dnose se na:</w:t>
      </w:r>
      <w:r w:rsidR="008E1D7F" w:rsidRPr="00737A20">
        <w:rPr>
          <w:rFonts w:ascii="Times New Roman" w:hAnsi="Times New Roman" w:cs="Times New Roman"/>
        </w:rPr>
        <w:t xml:space="preserve"> </w:t>
      </w:r>
    </w:p>
    <w:p w:rsidR="0010489C" w:rsidRPr="00737A20" w:rsidRDefault="0010489C" w:rsidP="00E318E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7A20">
        <w:rPr>
          <w:rFonts w:ascii="Times New Roman" w:hAnsi="Times New Roman" w:cs="Times New Roman"/>
        </w:rPr>
        <w:t xml:space="preserve">Tekuće pomoći proračunskim korisnicima iz proračuna koji im nije nadležan u iznosu </w:t>
      </w:r>
      <w:r w:rsidR="00737A20" w:rsidRPr="00737A20">
        <w:rPr>
          <w:rFonts w:ascii="Times New Roman" w:hAnsi="Times New Roman" w:cs="Times New Roman"/>
        </w:rPr>
        <w:t>6</w:t>
      </w:r>
      <w:r w:rsidRPr="00737A20">
        <w:rPr>
          <w:rFonts w:ascii="Times New Roman" w:hAnsi="Times New Roman" w:cs="Times New Roman"/>
        </w:rPr>
        <w:t>.</w:t>
      </w:r>
      <w:r w:rsidR="00737A20" w:rsidRPr="00737A20">
        <w:rPr>
          <w:rFonts w:ascii="Times New Roman" w:hAnsi="Times New Roman" w:cs="Times New Roman"/>
        </w:rPr>
        <w:t>119</w:t>
      </w:r>
      <w:r w:rsidRPr="00737A20">
        <w:rPr>
          <w:rFonts w:ascii="Times New Roman" w:hAnsi="Times New Roman" w:cs="Times New Roman"/>
        </w:rPr>
        <w:t>.</w:t>
      </w:r>
      <w:r w:rsidR="00737A20" w:rsidRPr="00737A20">
        <w:rPr>
          <w:rFonts w:ascii="Times New Roman" w:hAnsi="Times New Roman" w:cs="Times New Roman"/>
        </w:rPr>
        <w:t>014</w:t>
      </w:r>
      <w:r w:rsidR="00753ADA" w:rsidRPr="00737A20">
        <w:rPr>
          <w:rFonts w:ascii="Times New Roman" w:hAnsi="Times New Roman" w:cs="Times New Roman"/>
        </w:rPr>
        <w:t xml:space="preserve"> kn</w:t>
      </w:r>
      <w:r w:rsidRPr="00737A20">
        <w:rPr>
          <w:rFonts w:ascii="Times New Roman" w:hAnsi="Times New Roman" w:cs="Times New Roman"/>
        </w:rPr>
        <w:t xml:space="preserve"> (Ministarstva zdravstva </w:t>
      </w:r>
      <w:r w:rsidR="00753ADA" w:rsidRPr="00737A20">
        <w:rPr>
          <w:rFonts w:ascii="Times New Roman" w:hAnsi="Times New Roman" w:cs="Times New Roman"/>
        </w:rPr>
        <w:t>za sudske pacijente</w:t>
      </w:r>
      <w:r w:rsidR="003049EE" w:rsidRPr="00737A20">
        <w:rPr>
          <w:rFonts w:ascii="Times New Roman" w:hAnsi="Times New Roman" w:cs="Times New Roman"/>
        </w:rPr>
        <w:t xml:space="preserve"> 1.</w:t>
      </w:r>
      <w:r w:rsidR="00737A20" w:rsidRPr="00737A20">
        <w:rPr>
          <w:rFonts w:ascii="Times New Roman" w:hAnsi="Times New Roman" w:cs="Times New Roman"/>
        </w:rPr>
        <w:t>878</w:t>
      </w:r>
      <w:r w:rsidR="003049EE" w:rsidRPr="00737A20">
        <w:rPr>
          <w:rFonts w:ascii="Times New Roman" w:hAnsi="Times New Roman" w:cs="Times New Roman"/>
        </w:rPr>
        <w:t>.</w:t>
      </w:r>
      <w:r w:rsidR="00737A20" w:rsidRPr="00737A20">
        <w:rPr>
          <w:rFonts w:ascii="Times New Roman" w:hAnsi="Times New Roman" w:cs="Times New Roman"/>
        </w:rPr>
        <w:t>304</w:t>
      </w:r>
      <w:r w:rsidR="003049EE" w:rsidRPr="00737A20">
        <w:rPr>
          <w:rFonts w:ascii="Times New Roman" w:hAnsi="Times New Roman" w:cs="Times New Roman"/>
        </w:rPr>
        <w:t xml:space="preserve"> kn, </w:t>
      </w:r>
      <w:r w:rsidR="00753ADA" w:rsidRPr="00737A20">
        <w:rPr>
          <w:rFonts w:ascii="Times New Roman" w:hAnsi="Times New Roman" w:cs="Times New Roman"/>
        </w:rPr>
        <w:t>Ministarstvo socijale</w:t>
      </w:r>
      <w:r w:rsidR="003049EE" w:rsidRPr="00737A20">
        <w:rPr>
          <w:rFonts w:ascii="Times New Roman" w:hAnsi="Times New Roman" w:cs="Times New Roman"/>
        </w:rPr>
        <w:t xml:space="preserve"> za smještaj </w:t>
      </w:r>
      <w:r w:rsidR="00737A20" w:rsidRPr="00737A20">
        <w:rPr>
          <w:rFonts w:ascii="Times New Roman" w:hAnsi="Times New Roman" w:cs="Times New Roman"/>
        </w:rPr>
        <w:t>1.192.325</w:t>
      </w:r>
      <w:r w:rsidR="003049EE" w:rsidRPr="00737A20">
        <w:rPr>
          <w:rFonts w:ascii="Times New Roman" w:hAnsi="Times New Roman" w:cs="Times New Roman"/>
        </w:rPr>
        <w:t xml:space="preserve"> kn, Ministarstvo zdravstva za sanaciju lijekova 1.</w:t>
      </w:r>
      <w:r w:rsidR="00737A20" w:rsidRPr="00737A20">
        <w:rPr>
          <w:rFonts w:ascii="Times New Roman" w:hAnsi="Times New Roman" w:cs="Times New Roman"/>
        </w:rPr>
        <w:t>953</w:t>
      </w:r>
      <w:r w:rsidR="003049EE" w:rsidRPr="00737A20">
        <w:rPr>
          <w:rFonts w:ascii="Times New Roman" w:hAnsi="Times New Roman" w:cs="Times New Roman"/>
        </w:rPr>
        <w:t>.</w:t>
      </w:r>
      <w:r w:rsidR="00737A20" w:rsidRPr="00737A20">
        <w:rPr>
          <w:rFonts w:ascii="Times New Roman" w:hAnsi="Times New Roman" w:cs="Times New Roman"/>
        </w:rPr>
        <w:t>992</w:t>
      </w:r>
      <w:r w:rsidR="003049EE" w:rsidRPr="00737A20">
        <w:rPr>
          <w:rFonts w:ascii="Times New Roman" w:hAnsi="Times New Roman" w:cs="Times New Roman"/>
        </w:rPr>
        <w:t xml:space="preserve"> kn i Ministarstvo zdravstva za Projekt „Zajedno putem oporavka od ovisnosti o alkoholu“ 130.000 kn</w:t>
      </w:r>
      <w:r w:rsidR="00737A20" w:rsidRPr="00737A20">
        <w:rPr>
          <w:rFonts w:ascii="Times New Roman" w:hAnsi="Times New Roman" w:cs="Times New Roman"/>
        </w:rPr>
        <w:t>, sredstva za krivo obračunate prekovremene sate 949.393 kn, 15.000 kn subvencije za električnu energiju</w:t>
      </w:r>
      <w:r w:rsidRPr="00737A20">
        <w:rPr>
          <w:rFonts w:ascii="Times New Roman" w:hAnsi="Times New Roman" w:cs="Times New Roman"/>
        </w:rPr>
        <w:t>)</w:t>
      </w:r>
    </w:p>
    <w:p w:rsidR="00753ADA" w:rsidRPr="00737A20" w:rsidRDefault="00753ADA" w:rsidP="00E318E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7A20">
        <w:rPr>
          <w:rFonts w:ascii="Times New Roman" w:hAnsi="Times New Roman" w:cs="Times New Roman"/>
        </w:rPr>
        <w:t xml:space="preserve">Tekuće pomoći temeljem prijenosa EU sredstava u iznosu </w:t>
      </w:r>
      <w:r w:rsidR="00737A20" w:rsidRPr="00737A20">
        <w:rPr>
          <w:rFonts w:ascii="Times New Roman" w:hAnsi="Times New Roman" w:cs="Times New Roman"/>
        </w:rPr>
        <w:t>239</w:t>
      </w:r>
      <w:r w:rsidRPr="00737A20">
        <w:rPr>
          <w:rFonts w:ascii="Times New Roman" w:hAnsi="Times New Roman" w:cs="Times New Roman"/>
        </w:rPr>
        <w:t>.</w:t>
      </w:r>
      <w:r w:rsidR="00737A20" w:rsidRPr="00737A20">
        <w:rPr>
          <w:rFonts w:ascii="Times New Roman" w:hAnsi="Times New Roman" w:cs="Times New Roman"/>
        </w:rPr>
        <w:t>249</w:t>
      </w:r>
      <w:r w:rsidRPr="00737A20">
        <w:rPr>
          <w:rFonts w:ascii="Times New Roman" w:hAnsi="Times New Roman" w:cs="Times New Roman"/>
        </w:rPr>
        <w:t xml:space="preserve"> kuna</w:t>
      </w:r>
      <w:r w:rsidR="003049EE" w:rsidRPr="00737A20">
        <w:rPr>
          <w:rFonts w:ascii="Times New Roman" w:hAnsi="Times New Roman" w:cs="Times New Roman"/>
        </w:rPr>
        <w:t xml:space="preserve"> </w:t>
      </w:r>
      <w:r w:rsidR="00737A20" w:rsidRPr="00737A20">
        <w:rPr>
          <w:rFonts w:ascii="Times New Roman" w:hAnsi="Times New Roman" w:cs="Times New Roman"/>
        </w:rPr>
        <w:t>za p</w:t>
      </w:r>
      <w:r w:rsidR="003049EE" w:rsidRPr="00737A20">
        <w:rPr>
          <w:rFonts w:ascii="Times New Roman" w:hAnsi="Times New Roman" w:cs="Times New Roman"/>
        </w:rPr>
        <w:t xml:space="preserve">rojekt „Ljudski potencijali“ </w:t>
      </w:r>
    </w:p>
    <w:p w:rsidR="00383B60" w:rsidRPr="00737A20" w:rsidRDefault="008E1D7F" w:rsidP="0010489C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737A20">
        <w:rPr>
          <w:rFonts w:ascii="Times New Roman" w:hAnsi="Times New Roman" w:cs="Times New Roman"/>
        </w:rPr>
        <w:t xml:space="preserve">Kapitalne pomoći </w:t>
      </w:r>
      <w:r w:rsidR="00753ADA" w:rsidRPr="00737A20">
        <w:rPr>
          <w:rFonts w:ascii="Times New Roman" w:hAnsi="Times New Roman" w:cs="Times New Roman"/>
        </w:rPr>
        <w:t xml:space="preserve">temeljem prijenosa EU sredstava u iznosu od </w:t>
      </w:r>
      <w:r w:rsidR="00737A20" w:rsidRPr="00737A20">
        <w:rPr>
          <w:rFonts w:ascii="Times New Roman" w:hAnsi="Times New Roman" w:cs="Times New Roman"/>
        </w:rPr>
        <w:t>1</w:t>
      </w:r>
      <w:r w:rsidR="00753ADA" w:rsidRPr="00737A20">
        <w:rPr>
          <w:rFonts w:ascii="Times New Roman" w:hAnsi="Times New Roman" w:cs="Times New Roman"/>
        </w:rPr>
        <w:t>.5</w:t>
      </w:r>
      <w:r w:rsidR="00737A20" w:rsidRPr="00737A20">
        <w:rPr>
          <w:rFonts w:ascii="Times New Roman" w:hAnsi="Times New Roman" w:cs="Times New Roman"/>
        </w:rPr>
        <w:t>49</w:t>
      </w:r>
      <w:r w:rsidR="00753ADA" w:rsidRPr="00737A20">
        <w:rPr>
          <w:rFonts w:ascii="Times New Roman" w:hAnsi="Times New Roman" w:cs="Times New Roman"/>
        </w:rPr>
        <w:t>.</w:t>
      </w:r>
      <w:r w:rsidR="00737A20" w:rsidRPr="00737A20">
        <w:rPr>
          <w:rFonts w:ascii="Times New Roman" w:hAnsi="Times New Roman" w:cs="Times New Roman"/>
        </w:rPr>
        <w:t>003</w:t>
      </w:r>
      <w:r w:rsidR="00753ADA" w:rsidRPr="00737A20">
        <w:rPr>
          <w:rFonts w:ascii="Times New Roman" w:hAnsi="Times New Roman" w:cs="Times New Roman"/>
        </w:rPr>
        <w:t xml:space="preserve"> kuna</w:t>
      </w:r>
      <w:r w:rsidR="003049EE" w:rsidRPr="00737A20">
        <w:rPr>
          <w:rFonts w:ascii="Times New Roman" w:hAnsi="Times New Roman" w:cs="Times New Roman"/>
        </w:rPr>
        <w:t xml:space="preserve"> se odnose na energetsku obnovu 5 zgrada</w:t>
      </w:r>
      <w:r w:rsidR="00737A20" w:rsidRPr="00737A20">
        <w:rPr>
          <w:rFonts w:ascii="Times New Roman" w:hAnsi="Times New Roman" w:cs="Times New Roman"/>
        </w:rPr>
        <w:t xml:space="preserve"> izvršenu u 2021 g</w:t>
      </w:r>
    </w:p>
    <w:p w:rsidR="008E1D7F" w:rsidRPr="00737A20" w:rsidRDefault="008E1D7F" w:rsidP="00383B60">
      <w:pPr>
        <w:pStyle w:val="Bezproreda"/>
        <w:ind w:left="720"/>
        <w:jc w:val="both"/>
      </w:pPr>
    </w:p>
    <w:p w:rsidR="008E1D7F" w:rsidRPr="00737A20" w:rsidRDefault="008E1D7F" w:rsidP="00F11BAE">
      <w:pPr>
        <w:pStyle w:val="Bezproreda"/>
        <w:jc w:val="both"/>
        <w:rPr>
          <w:rFonts w:ascii="Times New Roman" w:hAnsi="Times New Roman" w:cs="Times New Roman"/>
          <w:b/>
        </w:rPr>
      </w:pPr>
      <w:r w:rsidRPr="00737A20">
        <w:rPr>
          <w:rFonts w:ascii="Times New Roman" w:hAnsi="Times New Roman" w:cs="Times New Roman"/>
          <w:b/>
        </w:rPr>
        <w:t>65 – Prihodi od administrativnih pristojbi i po posebnim propisima</w:t>
      </w:r>
    </w:p>
    <w:p w:rsidR="001D3FF6" w:rsidRPr="00737A20" w:rsidRDefault="001D3FF6" w:rsidP="00F11BAE">
      <w:pPr>
        <w:pStyle w:val="Bezproreda"/>
        <w:jc w:val="both"/>
        <w:rPr>
          <w:rFonts w:ascii="Times New Roman" w:hAnsi="Times New Roman" w:cs="Times New Roman"/>
        </w:rPr>
      </w:pPr>
    </w:p>
    <w:p w:rsidR="005668DC" w:rsidRPr="00737A20" w:rsidRDefault="008E1D7F" w:rsidP="00383B60">
      <w:pPr>
        <w:pStyle w:val="Bezproreda"/>
        <w:jc w:val="both"/>
        <w:rPr>
          <w:rFonts w:ascii="Times New Roman" w:hAnsi="Times New Roman" w:cs="Times New Roman"/>
        </w:rPr>
      </w:pPr>
      <w:r w:rsidRPr="00737A20">
        <w:rPr>
          <w:rFonts w:ascii="Times New Roman" w:hAnsi="Times New Roman" w:cs="Times New Roman"/>
        </w:rPr>
        <w:t xml:space="preserve">Prihodi od administrativnih pristojbi i po posebnim propisima ostvareni su u iznosu od </w:t>
      </w:r>
      <w:r w:rsidR="0095423E" w:rsidRPr="00737A20">
        <w:rPr>
          <w:rFonts w:ascii="Times New Roman" w:hAnsi="Times New Roman" w:cs="Times New Roman"/>
        </w:rPr>
        <w:t>330</w:t>
      </w:r>
      <w:r w:rsidR="00753ADA" w:rsidRPr="00737A20">
        <w:rPr>
          <w:rFonts w:ascii="Times New Roman" w:hAnsi="Times New Roman" w:cs="Times New Roman"/>
        </w:rPr>
        <w:t>.</w:t>
      </w:r>
      <w:r w:rsidR="0095423E" w:rsidRPr="00737A20">
        <w:rPr>
          <w:rFonts w:ascii="Times New Roman" w:hAnsi="Times New Roman" w:cs="Times New Roman"/>
        </w:rPr>
        <w:t>6</w:t>
      </w:r>
      <w:r w:rsidR="00753ADA" w:rsidRPr="00737A20">
        <w:rPr>
          <w:rFonts w:ascii="Times New Roman" w:hAnsi="Times New Roman" w:cs="Times New Roman"/>
        </w:rPr>
        <w:t>3</w:t>
      </w:r>
      <w:r w:rsidR="0095423E" w:rsidRPr="00737A20">
        <w:rPr>
          <w:rFonts w:ascii="Times New Roman" w:hAnsi="Times New Roman" w:cs="Times New Roman"/>
        </w:rPr>
        <w:t>9</w:t>
      </w:r>
      <w:r w:rsidR="0010489C" w:rsidRPr="00737A20">
        <w:rPr>
          <w:rFonts w:ascii="Times New Roman" w:hAnsi="Times New Roman" w:cs="Times New Roman"/>
        </w:rPr>
        <w:t xml:space="preserve"> </w:t>
      </w:r>
      <w:r w:rsidRPr="00737A20">
        <w:rPr>
          <w:rFonts w:ascii="Times New Roman" w:hAnsi="Times New Roman" w:cs="Times New Roman"/>
        </w:rPr>
        <w:t xml:space="preserve">kuna – </w:t>
      </w:r>
      <w:r w:rsidR="00753ADA" w:rsidRPr="00737A20">
        <w:rPr>
          <w:rFonts w:ascii="Times New Roman" w:hAnsi="Times New Roman" w:cs="Times New Roman"/>
        </w:rPr>
        <w:t>9</w:t>
      </w:r>
      <w:r w:rsidR="0095423E" w:rsidRPr="00737A20">
        <w:rPr>
          <w:rFonts w:ascii="Times New Roman" w:hAnsi="Times New Roman" w:cs="Times New Roman"/>
        </w:rPr>
        <w:t>6</w:t>
      </w:r>
      <w:r w:rsidR="007F27C1" w:rsidRPr="00737A20">
        <w:rPr>
          <w:rFonts w:ascii="Times New Roman" w:hAnsi="Times New Roman" w:cs="Times New Roman"/>
        </w:rPr>
        <w:t>,</w:t>
      </w:r>
      <w:r w:rsidR="0095423E" w:rsidRPr="00737A20">
        <w:rPr>
          <w:rFonts w:ascii="Times New Roman" w:hAnsi="Times New Roman" w:cs="Times New Roman"/>
        </w:rPr>
        <w:t>65</w:t>
      </w:r>
      <w:r w:rsidR="00753ADA" w:rsidRPr="00737A20">
        <w:rPr>
          <w:rFonts w:ascii="Times New Roman" w:hAnsi="Times New Roman" w:cs="Times New Roman"/>
        </w:rPr>
        <w:t xml:space="preserve"> </w:t>
      </w:r>
      <w:r w:rsidRPr="00737A20">
        <w:rPr>
          <w:rFonts w:ascii="Times New Roman" w:hAnsi="Times New Roman" w:cs="Times New Roman"/>
        </w:rPr>
        <w:t xml:space="preserve">% od planiranih </w:t>
      </w:r>
      <w:r w:rsidR="00753ADA" w:rsidRPr="00737A20">
        <w:rPr>
          <w:rFonts w:ascii="Times New Roman" w:hAnsi="Times New Roman" w:cs="Times New Roman"/>
        </w:rPr>
        <w:t>3</w:t>
      </w:r>
      <w:r w:rsidR="0095423E" w:rsidRPr="00737A20">
        <w:rPr>
          <w:rFonts w:ascii="Times New Roman" w:hAnsi="Times New Roman" w:cs="Times New Roman"/>
        </w:rPr>
        <w:t>42</w:t>
      </w:r>
      <w:r w:rsidR="00753ADA" w:rsidRPr="00737A20">
        <w:rPr>
          <w:rFonts w:ascii="Times New Roman" w:hAnsi="Times New Roman" w:cs="Times New Roman"/>
        </w:rPr>
        <w:t>.</w:t>
      </w:r>
      <w:r w:rsidR="0095423E" w:rsidRPr="00737A20">
        <w:rPr>
          <w:rFonts w:ascii="Times New Roman" w:hAnsi="Times New Roman" w:cs="Times New Roman"/>
        </w:rPr>
        <w:t>102</w:t>
      </w:r>
      <w:r w:rsidR="00753ADA" w:rsidRPr="00737A20">
        <w:rPr>
          <w:rFonts w:ascii="Times New Roman" w:hAnsi="Times New Roman" w:cs="Times New Roman"/>
        </w:rPr>
        <w:t xml:space="preserve"> </w:t>
      </w:r>
      <w:r w:rsidRPr="00737A20">
        <w:rPr>
          <w:rFonts w:ascii="Times New Roman" w:hAnsi="Times New Roman" w:cs="Times New Roman"/>
        </w:rPr>
        <w:t>kun</w:t>
      </w:r>
      <w:r w:rsidR="0095423E" w:rsidRPr="00737A20">
        <w:rPr>
          <w:rFonts w:ascii="Times New Roman" w:hAnsi="Times New Roman" w:cs="Times New Roman"/>
        </w:rPr>
        <w:t>e</w:t>
      </w:r>
      <w:r w:rsidR="005668DC" w:rsidRPr="00737A20">
        <w:rPr>
          <w:rFonts w:ascii="Times New Roman" w:hAnsi="Times New Roman" w:cs="Times New Roman"/>
        </w:rPr>
        <w:t>, a odnose se na:</w:t>
      </w:r>
    </w:p>
    <w:p w:rsidR="006A466B" w:rsidRPr="00737A20" w:rsidRDefault="006A466B" w:rsidP="00F11BAE">
      <w:pPr>
        <w:pStyle w:val="Bezproreda"/>
        <w:jc w:val="both"/>
        <w:rPr>
          <w:rFonts w:ascii="Times New Roman" w:hAnsi="Times New Roman" w:cs="Times New Roman"/>
        </w:rPr>
      </w:pPr>
    </w:p>
    <w:p w:rsidR="008E1D7F" w:rsidRPr="00737A20" w:rsidRDefault="005668DC" w:rsidP="00FB555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7A20">
        <w:rPr>
          <w:rFonts w:ascii="Times New Roman" w:hAnsi="Times New Roman" w:cs="Times New Roman"/>
        </w:rPr>
        <w:t xml:space="preserve">Prihod od dopunskog osiguranja od strane HZZO u iznosu </w:t>
      </w:r>
      <w:r w:rsidR="003049EE" w:rsidRPr="00737A20">
        <w:rPr>
          <w:rFonts w:ascii="Times New Roman" w:hAnsi="Times New Roman" w:cs="Times New Roman"/>
        </w:rPr>
        <w:t>20.3</w:t>
      </w:r>
      <w:r w:rsidR="00737A20" w:rsidRPr="00737A20">
        <w:rPr>
          <w:rFonts w:ascii="Times New Roman" w:hAnsi="Times New Roman" w:cs="Times New Roman"/>
        </w:rPr>
        <w:t>1</w:t>
      </w:r>
      <w:r w:rsidR="003049EE" w:rsidRPr="00737A20">
        <w:rPr>
          <w:rFonts w:ascii="Times New Roman" w:hAnsi="Times New Roman" w:cs="Times New Roman"/>
        </w:rPr>
        <w:t>3</w:t>
      </w:r>
      <w:r w:rsidR="004B6DA7" w:rsidRPr="00737A20">
        <w:rPr>
          <w:rFonts w:ascii="Times New Roman" w:hAnsi="Times New Roman" w:cs="Times New Roman"/>
        </w:rPr>
        <w:t xml:space="preserve"> </w:t>
      </w:r>
      <w:r w:rsidRPr="00737A20">
        <w:rPr>
          <w:rFonts w:ascii="Times New Roman" w:hAnsi="Times New Roman" w:cs="Times New Roman"/>
        </w:rPr>
        <w:t>kuna</w:t>
      </w:r>
      <w:r w:rsidR="003049EE" w:rsidRPr="00737A20">
        <w:rPr>
          <w:rFonts w:ascii="Times New Roman" w:hAnsi="Times New Roman" w:cs="Times New Roman"/>
        </w:rPr>
        <w:t>,</w:t>
      </w:r>
      <w:r w:rsidR="00737A20" w:rsidRPr="00737A20">
        <w:rPr>
          <w:rFonts w:ascii="Times New Roman" w:hAnsi="Times New Roman" w:cs="Times New Roman"/>
        </w:rPr>
        <w:t xml:space="preserve"> dopunsko od ostalih 500kn,</w:t>
      </w:r>
      <w:r w:rsidR="003049EE" w:rsidRPr="00737A20">
        <w:rPr>
          <w:rFonts w:ascii="Times New Roman" w:hAnsi="Times New Roman" w:cs="Times New Roman"/>
        </w:rPr>
        <w:t xml:space="preserve"> prihodi od participacije </w:t>
      </w:r>
      <w:r w:rsidR="00737A20" w:rsidRPr="00737A20">
        <w:rPr>
          <w:rFonts w:ascii="Times New Roman" w:hAnsi="Times New Roman" w:cs="Times New Roman"/>
        </w:rPr>
        <w:t>267</w:t>
      </w:r>
      <w:r w:rsidR="003049EE" w:rsidRPr="00737A20">
        <w:rPr>
          <w:rFonts w:ascii="Times New Roman" w:hAnsi="Times New Roman" w:cs="Times New Roman"/>
        </w:rPr>
        <w:t xml:space="preserve"> kn</w:t>
      </w:r>
    </w:p>
    <w:p w:rsidR="005668DC" w:rsidRPr="00737A20" w:rsidRDefault="003049EE" w:rsidP="0065313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7A20">
        <w:rPr>
          <w:rFonts w:ascii="Times New Roman" w:hAnsi="Times New Roman" w:cs="Times New Roman"/>
        </w:rPr>
        <w:t>Marende zaposlenika 1</w:t>
      </w:r>
      <w:r w:rsidR="00737A20" w:rsidRPr="00737A20">
        <w:rPr>
          <w:rFonts w:ascii="Times New Roman" w:hAnsi="Times New Roman" w:cs="Times New Roman"/>
        </w:rPr>
        <w:t>2</w:t>
      </w:r>
      <w:r w:rsidRPr="00737A20">
        <w:rPr>
          <w:rFonts w:ascii="Times New Roman" w:hAnsi="Times New Roman" w:cs="Times New Roman"/>
        </w:rPr>
        <w:t>3.</w:t>
      </w:r>
      <w:r w:rsidR="00737A20" w:rsidRPr="00737A20">
        <w:rPr>
          <w:rFonts w:ascii="Times New Roman" w:hAnsi="Times New Roman" w:cs="Times New Roman"/>
        </w:rPr>
        <w:t>24</w:t>
      </w:r>
      <w:r w:rsidRPr="00737A20">
        <w:rPr>
          <w:rFonts w:ascii="Times New Roman" w:hAnsi="Times New Roman" w:cs="Times New Roman"/>
        </w:rPr>
        <w:t>5 kn</w:t>
      </w:r>
    </w:p>
    <w:p w:rsidR="003049EE" w:rsidRPr="00737A20" w:rsidRDefault="003049EE" w:rsidP="0065313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7A20">
        <w:rPr>
          <w:rFonts w:ascii="Times New Roman" w:hAnsi="Times New Roman" w:cs="Times New Roman"/>
        </w:rPr>
        <w:t xml:space="preserve">Prijevoz pacijenata </w:t>
      </w:r>
      <w:r w:rsidR="00737A20" w:rsidRPr="00737A20">
        <w:rPr>
          <w:rFonts w:ascii="Times New Roman" w:hAnsi="Times New Roman" w:cs="Times New Roman"/>
        </w:rPr>
        <w:t>44</w:t>
      </w:r>
      <w:r w:rsidRPr="00737A20">
        <w:rPr>
          <w:rFonts w:ascii="Times New Roman" w:hAnsi="Times New Roman" w:cs="Times New Roman"/>
        </w:rPr>
        <w:t>.</w:t>
      </w:r>
      <w:r w:rsidR="00737A20" w:rsidRPr="00737A20">
        <w:rPr>
          <w:rFonts w:ascii="Times New Roman" w:hAnsi="Times New Roman" w:cs="Times New Roman"/>
        </w:rPr>
        <w:t>182</w:t>
      </w:r>
      <w:r w:rsidRPr="00737A20">
        <w:rPr>
          <w:rFonts w:ascii="Times New Roman" w:hAnsi="Times New Roman" w:cs="Times New Roman"/>
        </w:rPr>
        <w:t xml:space="preserve"> kn</w:t>
      </w:r>
    </w:p>
    <w:p w:rsidR="003049EE" w:rsidRPr="00737A20" w:rsidRDefault="003049EE" w:rsidP="0065313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7A20">
        <w:rPr>
          <w:rFonts w:ascii="Times New Roman" w:hAnsi="Times New Roman" w:cs="Times New Roman"/>
        </w:rPr>
        <w:t xml:space="preserve">Prihodi od pružanja psihijatrijske pomoći zatvorenicima </w:t>
      </w:r>
      <w:r w:rsidR="00737A20" w:rsidRPr="00737A20">
        <w:rPr>
          <w:rFonts w:ascii="Times New Roman" w:hAnsi="Times New Roman" w:cs="Times New Roman"/>
        </w:rPr>
        <w:t>31</w:t>
      </w:r>
      <w:r w:rsidRPr="00737A20">
        <w:rPr>
          <w:rFonts w:ascii="Times New Roman" w:hAnsi="Times New Roman" w:cs="Times New Roman"/>
        </w:rPr>
        <w:t>.</w:t>
      </w:r>
      <w:r w:rsidR="00737A20" w:rsidRPr="00737A20">
        <w:rPr>
          <w:rFonts w:ascii="Times New Roman" w:hAnsi="Times New Roman" w:cs="Times New Roman"/>
        </w:rPr>
        <w:t>2</w:t>
      </w:r>
      <w:r w:rsidRPr="00737A20">
        <w:rPr>
          <w:rFonts w:ascii="Times New Roman" w:hAnsi="Times New Roman" w:cs="Times New Roman"/>
        </w:rPr>
        <w:t>00 kn</w:t>
      </w:r>
    </w:p>
    <w:p w:rsidR="00737A20" w:rsidRPr="00737A20" w:rsidRDefault="00737A20" w:rsidP="0065313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7A20">
        <w:rPr>
          <w:rFonts w:ascii="Times New Roman" w:hAnsi="Times New Roman" w:cs="Times New Roman"/>
        </w:rPr>
        <w:t>Refundacija štete 107.963 kn</w:t>
      </w:r>
    </w:p>
    <w:p w:rsidR="00737A20" w:rsidRPr="00737A20" w:rsidRDefault="00737A20" w:rsidP="0065313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7A20">
        <w:rPr>
          <w:rFonts w:ascii="Times New Roman" w:hAnsi="Times New Roman" w:cs="Times New Roman"/>
        </w:rPr>
        <w:t>Ostali 2.969</w:t>
      </w:r>
    </w:p>
    <w:p w:rsidR="006A466B" w:rsidRPr="00737A20" w:rsidRDefault="006A466B" w:rsidP="00F11BAE">
      <w:pPr>
        <w:pStyle w:val="Bezproreda"/>
        <w:jc w:val="both"/>
      </w:pPr>
    </w:p>
    <w:p w:rsidR="006A466B" w:rsidRPr="00737A20" w:rsidRDefault="006A466B" w:rsidP="00F11BAE">
      <w:pPr>
        <w:pStyle w:val="Bezproreda"/>
        <w:jc w:val="both"/>
        <w:rPr>
          <w:rFonts w:ascii="Times New Roman" w:hAnsi="Times New Roman" w:cs="Times New Roman"/>
          <w:b/>
        </w:rPr>
      </w:pPr>
      <w:r w:rsidRPr="00737A20">
        <w:rPr>
          <w:rFonts w:ascii="Times New Roman" w:hAnsi="Times New Roman" w:cs="Times New Roman"/>
          <w:b/>
        </w:rPr>
        <w:t>66 - Prihodi od prodaje proizvoda i robe te pruženih usluga i prihodi od donacija</w:t>
      </w:r>
    </w:p>
    <w:p w:rsidR="001D3FF6" w:rsidRPr="00737A20" w:rsidRDefault="001D3FF6" w:rsidP="00F11BAE">
      <w:pPr>
        <w:pStyle w:val="Bezproreda"/>
        <w:jc w:val="both"/>
        <w:rPr>
          <w:rFonts w:ascii="Times New Roman" w:hAnsi="Times New Roman" w:cs="Times New Roman"/>
          <w:b/>
        </w:rPr>
      </w:pPr>
    </w:p>
    <w:p w:rsidR="006A466B" w:rsidRPr="00696FB5" w:rsidRDefault="006A466B" w:rsidP="0065313B">
      <w:pPr>
        <w:pStyle w:val="Bezproreda"/>
        <w:jc w:val="both"/>
        <w:rPr>
          <w:rFonts w:ascii="Times New Roman" w:hAnsi="Times New Roman" w:cs="Times New Roman"/>
        </w:rPr>
      </w:pPr>
      <w:r w:rsidRPr="00737A20">
        <w:rPr>
          <w:rFonts w:ascii="Times New Roman" w:hAnsi="Times New Roman" w:cs="Times New Roman"/>
        </w:rPr>
        <w:t xml:space="preserve">Prihodi od prodaje proizvoda i robe te pruženih usluga </w:t>
      </w:r>
      <w:r w:rsidR="00182C9C" w:rsidRPr="00737A20">
        <w:rPr>
          <w:rFonts w:ascii="Times New Roman" w:hAnsi="Times New Roman" w:cs="Times New Roman"/>
        </w:rPr>
        <w:t xml:space="preserve">i prihodi od donacija </w:t>
      </w:r>
      <w:r w:rsidRPr="00737A20">
        <w:rPr>
          <w:rFonts w:ascii="Times New Roman" w:hAnsi="Times New Roman" w:cs="Times New Roman"/>
        </w:rPr>
        <w:t xml:space="preserve">ostvareni su u iznosu od </w:t>
      </w:r>
      <w:r w:rsidR="0095423E" w:rsidRPr="00737A20">
        <w:rPr>
          <w:rFonts w:ascii="Times New Roman" w:hAnsi="Times New Roman" w:cs="Times New Roman"/>
        </w:rPr>
        <w:t>2</w:t>
      </w:r>
      <w:r w:rsidR="007F27C1" w:rsidRPr="00737A20">
        <w:rPr>
          <w:rFonts w:ascii="Times New Roman" w:hAnsi="Times New Roman" w:cs="Times New Roman"/>
        </w:rPr>
        <w:t>.</w:t>
      </w:r>
      <w:r w:rsidR="0095423E" w:rsidRPr="00737A20">
        <w:rPr>
          <w:rFonts w:ascii="Times New Roman" w:hAnsi="Times New Roman" w:cs="Times New Roman"/>
        </w:rPr>
        <w:t>441</w:t>
      </w:r>
      <w:r w:rsidR="007F27C1" w:rsidRPr="00737A20">
        <w:rPr>
          <w:rFonts w:ascii="Times New Roman" w:hAnsi="Times New Roman" w:cs="Times New Roman"/>
        </w:rPr>
        <w:t>.</w:t>
      </w:r>
      <w:r w:rsidR="0095423E" w:rsidRPr="00737A20">
        <w:rPr>
          <w:rFonts w:ascii="Times New Roman" w:hAnsi="Times New Roman" w:cs="Times New Roman"/>
        </w:rPr>
        <w:t>730</w:t>
      </w:r>
      <w:r w:rsidR="004B6DA7" w:rsidRPr="00737A20">
        <w:rPr>
          <w:rFonts w:ascii="Times New Roman" w:hAnsi="Times New Roman" w:cs="Times New Roman"/>
        </w:rPr>
        <w:t xml:space="preserve"> </w:t>
      </w:r>
      <w:r w:rsidRPr="00737A20">
        <w:rPr>
          <w:rFonts w:ascii="Times New Roman" w:hAnsi="Times New Roman" w:cs="Times New Roman"/>
        </w:rPr>
        <w:t>kun</w:t>
      </w:r>
      <w:r w:rsidR="0095423E" w:rsidRPr="00737A20">
        <w:rPr>
          <w:rFonts w:ascii="Times New Roman" w:hAnsi="Times New Roman" w:cs="Times New Roman"/>
        </w:rPr>
        <w:t>a</w:t>
      </w:r>
      <w:r w:rsidRPr="00737A20">
        <w:rPr>
          <w:rFonts w:ascii="Times New Roman" w:hAnsi="Times New Roman" w:cs="Times New Roman"/>
        </w:rPr>
        <w:t xml:space="preserve">, </w:t>
      </w:r>
      <w:r w:rsidR="0095423E" w:rsidRPr="00737A20">
        <w:rPr>
          <w:rFonts w:ascii="Times New Roman" w:hAnsi="Times New Roman" w:cs="Times New Roman"/>
        </w:rPr>
        <w:t>108</w:t>
      </w:r>
      <w:r w:rsidR="007F27C1" w:rsidRPr="00737A20">
        <w:rPr>
          <w:rFonts w:ascii="Times New Roman" w:hAnsi="Times New Roman" w:cs="Times New Roman"/>
        </w:rPr>
        <w:t>,</w:t>
      </w:r>
      <w:r w:rsidR="0095423E" w:rsidRPr="00737A20">
        <w:rPr>
          <w:rFonts w:ascii="Times New Roman" w:hAnsi="Times New Roman" w:cs="Times New Roman"/>
        </w:rPr>
        <w:t>95</w:t>
      </w:r>
      <w:r w:rsidR="00182C9C" w:rsidRPr="00737A20">
        <w:rPr>
          <w:rFonts w:ascii="Times New Roman" w:hAnsi="Times New Roman" w:cs="Times New Roman"/>
        </w:rPr>
        <w:t xml:space="preserve"> </w:t>
      </w:r>
      <w:r w:rsidRPr="00737A20">
        <w:rPr>
          <w:rFonts w:ascii="Times New Roman" w:hAnsi="Times New Roman" w:cs="Times New Roman"/>
        </w:rPr>
        <w:t xml:space="preserve">% od planiranih </w:t>
      </w:r>
      <w:r w:rsidR="0095423E" w:rsidRPr="00737A20">
        <w:rPr>
          <w:rFonts w:ascii="Times New Roman" w:hAnsi="Times New Roman" w:cs="Times New Roman"/>
        </w:rPr>
        <w:t>2</w:t>
      </w:r>
      <w:r w:rsidR="007F27C1" w:rsidRPr="00737A20">
        <w:rPr>
          <w:rFonts w:ascii="Times New Roman" w:hAnsi="Times New Roman" w:cs="Times New Roman"/>
        </w:rPr>
        <w:t>.</w:t>
      </w:r>
      <w:r w:rsidR="0095423E" w:rsidRPr="00737A20">
        <w:rPr>
          <w:rFonts w:ascii="Times New Roman" w:hAnsi="Times New Roman" w:cs="Times New Roman"/>
        </w:rPr>
        <w:t>241</w:t>
      </w:r>
      <w:r w:rsidR="007F27C1" w:rsidRPr="00737A20">
        <w:rPr>
          <w:rFonts w:ascii="Times New Roman" w:hAnsi="Times New Roman" w:cs="Times New Roman"/>
        </w:rPr>
        <w:t>.</w:t>
      </w:r>
      <w:r w:rsidR="0095423E" w:rsidRPr="00737A20">
        <w:rPr>
          <w:rFonts w:ascii="Times New Roman" w:hAnsi="Times New Roman" w:cs="Times New Roman"/>
        </w:rPr>
        <w:t>095</w:t>
      </w:r>
      <w:r w:rsidR="00182C9C" w:rsidRPr="00737A20">
        <w:rPr>
          <w:rFonts w:ascii="Times New Roman" w:hAnsi="Times New Roman" w:cs="Times New Roman"/>
        </w:rPr>
        <w:t xml:space="preserve"> </w:t>
      </w:r>
      <w:r w:rsidRPr="00737A20">
        <w:rPr>
          <w:rFonts w:ascii="Times New Roman" w:hAnsi="Times New Roman" w:cs="Times New Roman"/>
        </w:rPr>
        <w:t>kuna</w:t>
      </w:r>
      <w:r w:rsidR="007F27C1" w:rsidRPr="00737A20">
        <w:rPr>
          <w:rFonts w:ascii="Times New Roman" w:hAnsi="Times New Roman" w:cs="Times New Roman"/>
        </w:rPr>
        <w:t xml:space="preserve">. Prihodi od pruženih usluga su </w:t>
      </w:r>
      <w:r w:rsidR="0095423E" w:rsidRPr="00737A20">
        <w:rPr>
          <w:rFonts w:ascii="Times New Roman" w:hAnsi="Times New Roman" w:cs="Times New Roman"/>
        </w:rPr>
        <w:t>1.462</w:t>
      </w:r>
      <w:r w:rsidR="007F27C1" w:rsidRPr="00737A20">
        <w:rPr>
          <w:rFonts w:ascii="Times New Roman" w:hAnsi="Times New Roman" w:cs="Times New Roman"/>
        </w:rPr>
        <w:t>.</w:t>
      </w:r>
      <w:r w:rsidR="0095423E" w:rsidRPr="00737A20">
        <w:rPr>
          <w:rFonts w:ascii="Times New Roman" w:hAnsi="Times New Roman" w:cs="Times New Roman"/>
        </w:rPr>
        <w:t>067</w:t>
      </w:r>
      <w:r w:rsidR="007F27C1" w:rsidRPr="00737A20">
        <w:rPr>
          <w:rFonts w:ascii="Times New Roman" w:hAnsi="Times New Roman" w:cs="Times New Roman"/>
        </w:rPr>
        <w:t xml:space="preserve"> kn – </w:t>
      </w:r>
      <w:r w:rsidR="0095423E" w:rsidRPr="00737A20">
        <w:rPr>
          <w:rFonts w:ascii="Times New Roman" w:hAnsi="Times New Roman" w:cs="Times New Roman"/>
        </w:rPr>
        <w:t>101</w:t>
      </w:r>
      <w:r w:rsidR="007F27C1" w:rsidRPr="00737A20">
        <w:rPr>
          <w:rFonts w:ascii="Times New Roman" w:hAnsi="Times New Roman" w:cs="Times New Roman"/>
        </w:rPr>
        <w:t>,</w:t>
      </w:r>
      <w:r w:rsidR="0095423E" w:rsidRPr="00737A20">
        <w:rPr>
          <w:rFonts w:ascii="Times New Roman" w:hAnsi="Times New Roman" w:cs="Times New Roman"/>
        </w:rPr>
        <w:t>46</w:t>
      </w:r>
      <w:r w:rsidR="007F27C1" w:rsidRPr="00737A20">
        <w:rPr>
          <w:rFonts w:ascii="Times New Roman" w:hAnsi="Times New Roman" w:cs="Times New Roman"/>
        </w:rPr>
        <w:t xml:space="preserve"> % od planiranih 1.</w:t>
      </w:r>
      <w:r w:rsidR="0095423E" w:rsidRPr="00737A20">
        <w:rPr>
          <w:rFonts w:ascii="Times New Roman" w:hAnsi="Times New Roman" w:cs="Times New Roman"/>
        </w:rPr>
        <w:t>44</w:t>
      </w:r>
      <w:r w:rsidR="007F27C1" w:rsidRPr="00737A20">
        <w:rPr>
          <w:rFonts w:ascii="Times New Roman" w:hAnsi="Times New Roman" w:cs="Times New Roman"/>
        </w:rPr>
        <w:t>1.0</w:t>
      </w:r>
      <w:r w:rsidR="0095423E" w:rsidRPr="00737A20">
        <w:rPr>
          <w:rFonts w:ascii="Times New Roman" w:hAnsi="Times New Roman" w:cs="Times New Roman"/>
        </w:rPr>
        <w:t>95</w:t>
      </w:r>
      <w:r w:rsidR="007F27C1" w:rsidRPr="00737A20">
        <w:rPr>
          <w:rFonts w:ascii="Times New Roman" w:hAnsi="Times New Roman" w:cs="Times New Roman"/>
        </w:rPr>
        <w:t xml:space="preserve"> kn, dok su prihodi od donacija </w:t>
      </w:r>
      <w:r w:rsidR="0095423E" w:rsidRPr="00737A20">
        <w:rPr>
          <w:rFonts w:ascii="Times New Roman" w:hAnsi="Times New Roman" w:cs="Times New Roman"/>
        </w:rPr>
        <w:t>979</w:t>
      </w:r>
      <w:r w:rsidR="007F27C1" w:rsidRPr="00737A20">
        <w:rPr>
          <w:rFonts w:ascii="Times New Roman" w:hAnsi="Times New Roman" w:cs="Times New Roman"/>
        </w:rPr>
        <w:t>.</w:t>
      </w:r>
      <w:r w:rsidR="0095423E" w:rsidRPr="00737A20">
        <w:rPr>
          <w:rFonts w:ascii="Times New Roman" w:hAnsi="Times New Roman" w:cs="Times New Roman"/>
        </w:rPr>
        <w:t>663</w:t>
      </w:r>
      <w:r w:rsidR="007F27C1" w:rsidRPr="00737A20">
        <w:rPr>
          <w:rFonts w:ascii="Times New Roman" w:hAnsi="Times New Roman" w:cs="Times New Roman"/>
        </w:rPr>
        <w:t xml:space="preserve"> kn – </w:t>
      </w:r>
      <w:r w:rsidR="0095423E" w:rsidRPr="00737A20">
        <w:rPr>
          <w:rFonts w:ascii="Times New Roman" w:hAnsi="Times New Roman" w:cs="Times New Roman"/>
        </w:rPr>
        <w:t>122</w:t>
      </w:r>
      <w:r w:rsidR="007F27C1">
        <w:rPr>
          <w:rFonts w:ascii="Times New Roman" w:hAnsi="Times New Roman" w:cs="Times New Roman"/>
        </w:rPr>
        <w:t>,</w:t>
      </w:r>
      <w:r w:rsidR="0095423E">
        <w:rPr>
          <w:rFonts w:ascii="Times New Roman" w:hAnsi="Times New Roman" w:cs="Times New Roman"/>
        </w:rPr>
        <w:t>46</w:t>
      </w:r>
      <w:r w:rsidR="007F27C1">
        <w:rPr>
          <w:rFonts w:ascii="Times New Roman" w:hAnsi="Times New Roman" w:cs="Times New Roman"/>
        </w:rPr>
        <w:t xml:space="preserve"> % od planiranih </w:t>
      </w:r>
      <w:r w:rsidR="0095423E">
        <w:rPr>
          <w:rFonts w:ascii="Times New Roman" w:hAnsi="Times New Roman" w:cs="Times New Roman"/>
        </w:rPr>
        <w:t>8</w:t>
      </w:r>
      <w:r w:rsidR="007F27C1">
        <w:rPr>
          <w:rFonts w:ascii="Times New Roman" w:hAnsi="Times New Roman" w:cs="Times New Roman"/>
        </w:rPr>
        <w:t>00.000 kn i</w:t>
      </w:r>
      <w:r w:rsidRPr="00696FB5">
        <w:rPr>
          <w:rFonts w:ascii="Times New Roman" w:hAnsi="Times New Roman" w:cs="Times New Roman"/>
        </w:rPr>
        <w:t xml:space="preserve"> sastoje se od:</w:t>
      </w:r>
    </w:p>
    <w:p w:rsidR="00696FB5" w:rsidRPr="004F24EF" w:rsidRDefault="006A466B" w:rsidP="0065313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24EF">
        <w:rPr>
          <w:rFonts w:ascii="Times New Roman" w:hAnsi="Times New Roman" w:cs="Times New Roman"/>
        </w:rPr>
        <w:t xml:space="preserve">Prihoda od </w:t>
      </w:r>
      <w:r w:rsidR="00696FB5" w:rsidRPr="004F24EF">
        <w:rPr>
          <w:rFonts w:ascii="Times New Roman" w:hAnsi="Times New Roman" w:cs="Times New Roman"/>
        </w:rPr>
        <w:t xml:space="preserve">domskog smještaja </w:t>
      </w:r>
      <w:r w:rsidR="000F4896" w:rsidRPr="004F24EF">
        <w:rPr>
          <w:rFonts w:ascii="Times New Roman" w:hAnsi="Times New Roman" w:cs="Times New Roman"/>
        </w:rPr>
        <w:t xml:space="preserve"> </w:t>
      </w:r>
      <w:r w:rsidR="00737A20" w:rsidRPr="004F24EF">
        <w:rPr>
          <w:rFonts w:ascii="Times New Roman" w:hAnsi="Times New Roman" w:cs="Times New Roman"/>
        </w:rPr>
        <w:t>1.3</w:t>
      </w:r>
      <w:r w:rsidR="00696FB5" w:rsidRPr="004F24EF">
        <w:rPr>
          <w:rFonts w:ascii="Times New Roman" w:hAnsi="Times New Roman" w:cs="Times New Roman"/>
        </w:rPr>
        <w:t>72.</w:t>
      </w:r>
      <w:r w:rsidR="00737A20" w:rsidRPr="004F24EF">
        <w:rPr>
          <w:rFonts w:ascii="Times New Roman" w:hAnsi="Times New Roman" w:cs="Times New Roman"/>
        </w:rPr>
        <w:t>836</w:t>
      </w:r>
      <w:r w:rsidR="00952ED2" w:rsidRPr="004F24EF">
        <w:rPr>
          <w:rFonts w:ascii="Times New Roman" w:hAnsi="Times New Roman" w:cs="Times New Roman"/>
        </w:rPr>
        <w:t xml:space="preserve"> </w:t>
      </w:r>
      <w:r w:rsidR="000F4896" w:rsidRPr="004F24EF">
        <w:rPr>
          <w:rFonts w:ascii="Times New Roman" w:hAnsi="Times New Roman" w:cs="Times New Roman"/>
        </w:rPr>
        <w:t>kuna,</w:t>
      </w:r>
    </w:p>
    <w:p w:rsidR="006A466B" w:rsidRPr="004F24EF" w:rsidRDefault="00696FB5" w:rsidP="0065313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24EF">
        <w:rPr>
          <w:rFonts w:ascii="Times New Roman" w:hAnsi="Times New Roman" w:cs="Times New Roman"/>
        </w:rPr>
        <w:t xml:space="preserve">Najam prostora za trgovinu </w:t>
      </w:r>
      <w:r w:rsidR="00737A20" w:rsidRPr="004F24EF">
        <w:rPr>
          <w:rFonts w:ascii="Times New Roman" w:hAnsi="Times New Roman" w:cs="Times New Roman"/>
        </w:rPr>
        <w:t>88</w:t>
      </w:r>
      <w:r w:rsidRPr="004F24EF">
        <w:rPr>
          <w:rFonts w:ascii="Times New Roman" w:hAnsi="Times New Roman" w:cs="Times New Roman"/>
        </w:rPr>
        <w:t>.</w:t>
      </w:r>
      <w:r w:rsidR="00737A20" w:rsidRPr="004F24EF">
        <w:rPr>
          <w:rFonts w:ascii="Times New Roman" w:hAnsi="Times New Roman" w:cs="Times New Roman"/>
        </w:rPr>
        <w:t>137</w:t>
      </w:r>
      <w:r w:rsidRPr="004F24EF">
        <w:rPr>
          <w:rFonts w:ascii="Times New Roman" w:hAnsi="Times New Roman" w:cs="Times New Roman"/>
        </w:rPr>
        <w:t xml:space="preserve"> kn</w:t>
      </w:r>
      <w:r w:rsidR="000F4896" w:rsidRPr="004F24EF">
        <w:rPr>
          <w:rFonts w:ascii="Times New Roman" w:hAnsi="Times New Roman" w:cs="Times New Roman"/>
        </w:rPr>
        <w:t xml:space="preserve"> </w:t>
      </w:r>
    </w:p>
    <w:p w:rsidR="00952ED2" w:rsidRPr="004F24EF" w:rsidRDefault="000F4896" w:rsidP="00DF750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24EF">
        <w:rPr>
          <w:rFonts w:ascii="Times New Roman" w:hAnsi="Times New Roman" w:cs="Times New Roman"/>
        </w:rPr>
        <w:t xml:space="preserve">Prihod od </w:t>
      </w:r>
      <w:r w:rsidR="00696FB5" w:rsidRPr="004F24EF">
        <w:rPr>
          <w:rFonts w:ascii="Times New Roman" w:hAnsi="Times New Roman" w:cs="Times New Roman"/>
        </w:rPr>
        <w:t xml:space="preserve">ostalih usluga </w:t>
      </w:r>
      <w:r w:rsidR="00737A20" w:rsidRPr="004F24EF">
        <w:rPr>
          <w:rFonts w:ascii="Times New Roman" w:hAnsi="Times New Roman" w:cs="Times New Roman"/>
        </w:rPr>
        <w:t>1.095</w:t>
      </w:r>
      <w:r w:rsidR="00696FB5" w:rsidRPr="004F24EF">
        <w:rPr>
          <w:rFonts w:ascii="Times New Roman" w:hAnsi="Times New Roman" w:cs="Times New Roman"/>
        </w:rPr>
        <w:t xml:space="preserve"> kn</w:t>
      </w:r>
    </w:p>
    <w:p w:rsidR="00696FB5" w:rsidRPr="004F24EF" w:rsidRDefault="00696FB5" w:rsidP="00DF750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24EF">
        <w:rPr>
          <w:rFonts w:ascii="Times New Roman" w:hAnsi="Times New Roman" w:cs="Times New Roman"/>
        </w:rPr>
        <w:t xml:space="preserve">Tekuće donacije (lijekovi i medicinski kreveti) </w:t>
      </w:r>
      <w:r w:rsidR="004F24EF" w:rsidRPr="004F24EF">
        <w:rPr>
          <w:rFonts w:ascii="Times New Roman" w:hAnsi="Times New Roman" w:cs="Times New Roman"/>
        </w:rPr>
        <w:t>979</w:t>
      </w:r>
      <w:r w:rsidRPr="004F24EF">
        <w:rPr>
          <w:rFonts w:ascii="Times New Roman" w:hAnsi="Times New Roman" w:cs="Times New Roman"/>
        </w:rPr>
        <w:t>.</w:t>
      </w:r>
      <w:r w:rsidR="004F24EF" w:rsidRPr="004F24EF">
        <w:rPr>
          <w:rFonts w:ascii="Times New Roman" w:hAnsi="Times New Roman" w:cs="Times New Roman"/>
        </w:rPr>
        <w:t>662</w:t>
      </w:r>
      <w:r w:rsidRPr="004F24EF">
        <w:rPr>
          <w:rFonts w:ascii="Times New Roman" w:hAnsi="Times New Roman" w:cs="Times New Roman"/>
        </w:rPr>
        <w:t xml:space="preserve"> kn</w:t>
      </w:r>
    </w:p>
    <w:p w:rsidR="007F27C1" w:rsidRDefault="007F27C1" w:rsidP="001D3FF6">
      <w:pPr>
        <w:jc w:val="both"/>
        <w:rPr>
          <w:rFonts w:ascii="Times New Roman" w:hAnsi="Times New Roman" w:cs="Times New Roman"/>
          <w:b/>
        </w:rPr>
      </w:pPr>
    </w:p>
    <w:p w:rsidR="001D3FF6" w:rsidRPr="001D3FF6" w:rsidRDefault="000F4896" w:rsidP="001D3FF6">
      <w:pPr>
        <w:jc w:val="both"/>
        <w:rPr>
          <w:rFonts w:ascii="Times New Roman" w:hAnsi="Times New Roman" w:cs="Times New Roman"/>
          <w:b/>
        </w:rPr>
      </w:pPr>
      <w:r w:rsidRPr="001D3FF6">
        <w:rPr>
          <w:rFonts w:ascii="Times New Roman" w:hAnsi="Times New Roman" w:cs="Times New Roman"/>
          <w:b/>
        </w:rPr>
        <w:lastRenderedPageBreak/>
        <w:t>67- Prihodi iz proračuna</w:t>
      </w:r>
    </w:p>
    <w:p w:rsidR="000F4896" w:rsidRPr="001D3FF6" w:rsidRDefault="000F4896" w:rsidP="001D3FF6">
      <w:pPr>
        <w:jc w:val="both"/>
        <w:rPr>
          <w:rFonts w:ascii="Times New Roman" w:hAnsi="Times New Roman" w:cs="Times New Roman"/>
        </w:rPr>
      </w:pPr>
      <w:r w:rsidRPr="001D3FF6">
        <w:rPr>
          <w:rFonts w:ascii="Times New Roman" w:hAnsi="Times New Roman" w:cs="Times New Roman"/>
        </w:rPr>
        <w:t xml:space="preserve">Prihod po ovoj osnovi ostvaren je u ukupnom iznosu od </w:t>
      </w:r>
      <w:r w:rsidR="00753ADA" w:rsidRPr="001D3FF6">
        <w:rPr>
          <w:rFonts w:ascii="Times New Roman" w:hAnsi="Times New Roman" w:cs="Times New Roman"/>
        </w:rPr>
        <w:t>4</w:t>
      </w:r>
      <w:r w:rsidR="0095423E">
        <w:rPr>
          <w:rFonts w:ascii="Times New Roman" w:hAnsi="Times New Roman" w:cs="Times New Roman"/>
        </w:rPr>
        <w:t>7</w:t>
      </w:r>
      <w:r w:rsidR="00753ADA" w:rsidRPr="001D3FF6">
        <w:rPr>
          <w:rFonts w:ascii="Times New Roman" w:hAnsi="Times New Roman" w:cs="Times New Roman"/>
        </w:rPr>
        <w:t>.</w:t>
      </w:r>
      <w:r w:rsidR="0095423E">
        <w:rPr>
          <w:rFonts w:ascii="Times New Roman" w:hAnsi="Times New Roman" w:cs="Times New Roman"/>
        </w:rPr>
        <w:t>867</w:t>
      </w:r>
      <w:r w:rsidR="00753ADA" w:rsidRPr="001D3FF6">
        <w:rPr>
          <w:rFonts w:ascii="Times New Roman" w:hAnsi="Times New Roman" w:cs="Times New Roman"/>
        </w:rPr>
        <w:t>.</w:t>
      </w:r>
      <w:r w:rsidR="0095423E">
        <w:rPr>
          <w:rFonts w:ascii="Times New Roman" w:hAnsi="Times New Roman" w:cs="Times New Roman"/>
        </w:rPr>
        <w:t>825</w:t>
      </w:r>
      <w:r w:rsidR="00F105EA" w:rsidRPr="001D3FF6">
        <w:rPr>
          <w:rFonts w:ascii="Times New Roman" w:hAnsi="Times New Roman" w:cs="Times New Roman"/>
        </w:rPr>
        <w:t xml:space="preserve"> </w:t>
      </w:r>
      <w:r w:rsidRPr="001D3FF6">
        <w:rPr>
          <w:rFonts w:ascii="Times New Roman" w:hAnsi="Times New Roman" w:cs="Times New Roman"/>
        </w:rPr>
        <w:t xml:space="preserve">kuna, odnosno </w:t>
      </w:r>
      <w:r w:rsidR="0095423E">
        <w:rPr>
          <w:rFonts w:ascii="Times New Roman" w:hAnsi="Times New Roman" w:cs="Times New Roman"/>
        </w:rPr>
        <w:t>79</w:t>
      </w:r>
      <w:r w:rsidR="007F27C1">
        <w:rPr>
          <w:rFonts w:ascii="Times New Roman" w:hAnsi="Times New Roman" w:cs="Times New Roman"/>
        </w:rPr>
        <w:t>,</w:t>
      </w:r>
      <w:r w:rsidR="0095423E">
        <w:rPr>
          <w:rFonts w:ascii="Times New Roman" w:hAnsi="Times New Roman" w:cs="Times New Roman"/>
        </w:rPr>
        <w:t>35</w:t>
      </w:r>
      <w:r w:rsidR="00F105EA" w:rsidRPr="001D3FF6">
        <w:rPr>
          <w:rFonts w:ascii="Times New Roman" w:hAnsi="Times New Roman" w:cs="Times New Roman"/>
        </w:rPr>
        <w:t xml:space="preserve"> </w:t>
      </w:r>
      <w:r w:rsidRPr="001D3FF6">
        <w:rPr>
          <w:rFonts w:ascii="Times New Roman" w:hAnsi="Times New Roman" w:cs="Times New Roman"/>
        </w:rPr>
        <w:t>% u</w:t>
      </w:r>
      <w:r w:rsidR="001D3FF6">
        <w:rPr>
          <w:rFonts w:ascii="Times New Roman" w:hAnsi="Times New Roman" w:cs="Times New Roman"/>
        </w:rPr>
        <w:t xml:space="preserve"> </w:t>
      </w:r>
      <w:r w:rsidRPr="001D3FF6">
        <w:rPr>
          <w:rFonts w:ascii="Times New Roman" w:hAnsi="Times New Roman" w:cs="Times New Roman"/>
        </w:rPr>
        <w:t xml:space="preserve">odnosu na plan koji iznosi </w:t>
      </w:r>
      <w:r w:rsidR="0095423E">
        <w:rPr>
          <w:rFonts w:ascii="Times New Roman" w:hAnsi="Times New Roman" w:cs="Times New Roman"/>
        </w:rPr>
        <w:t>60</w:t>
      </w:r>
      <w:r w:rsidR="00753ADA" w:rsidRPr="001D3FF6">
        <w:rPr>
          <w:rFonts w:ascii="Times New Roman" w:hAnsi="Times New Roman" w:cs="Times New Roman"/>
        </w:rPr>
        <w:t>.</w:t>
      </w:r>
      <w:r w:rsidR="0095423E">
        <w:rPr>
          <w:rFonts w:ascii="Times New Roman" w:hAnsi="Times New Roman" w:cs="Times New Roman"/>
        </w:rPr>
        <w:t>324</w:t>
      </w:r>
      <w:r w:rsidR="00753ADA" w:rsidRPr="001D3FF6">
        <w:rPr>
          <w:rFonts w:ascii="Times New Roman" w:hAnsi="Times New Roman" w:cs="Times New Roman"/>
        </w:rPr>
        <w:t>.</w:t>
      </w:r>
      <w:r w:rsidR="0095423E">
        <w:rPr>
          <w:rFonts w:ascii="Times New Roman" w:hAnsi="Times New Roman" w:cs="Times New Roman"/>
        </w:rPr>
        <w:t>975</w:t>
      </w:r>
      <w:r w:rsidR="00F105EA" w:rsidRPr="001D3FF6">
        <w:rPr>
          <w:rFonts w:ascii="Times New Roman" w:hAnsi="Times New Roman" w:cs="Times New Roman"/>
        </w:rPr>
        <w:t xml:space="preserve"> </w:t>
      </w:r>
      <w:r w:rsidRPr="001D3FF6">
        <w:rPr>
          <w:rFonts w:ascii="Times New Roman" w:hAnsi="Times New Roman" w:cs="Times New Roman"/>
        </w:rPr>
        <w:t>kuna, sastoji se od</w:t>
      </w:r>
      <w:r w:rsidR="001D3FF6">
        <w:rPr>
          <w:rFonts w:ascii="Times New Roman" w:hAnsi="Times New Roman" w:cs="Times New Roman"/>
        </w:rPr>
        <w:t>:</w:t>
      </w:r>
      <w:r w:rsidRPr="001D3FF6">
        <w:rPr>
          <w:rFonts w:ascii="Times New Roman" w:hAnsi="Times New Roman" w:cs="Times New Roman"/>
        </w:rPr>
        <w:t xml:space="preserve"> </w:t>
      </w:r>
    </w:p>
    <w:p w:rsidR="00696FB5" w:rsidRPr="004F24EF" w:rsidRDefault="000F4896" w:rsidP="007035F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24EF">
        <w:rPr>
          <w:rFonts w:ascii="Times New Roman" w:hAnsi="Times New Roman" w:cs="Times New Roman"/>
        </w:rPr>
        <w:t>Prihoda iz decentraliziranih sredstava Zadarske županije</w:t>
      </w:r>
      <w:r w:rsidR="00696FB5" w:rsidRPr="004F24EF">
        <w:rPr>
          <w:rFonts w:ascii="Times New Roman" w:hAnsi="Times New Roman" w:cs="Times New Roman"/>
        </w:rPr>
        <w:t xml:space="preserve"> 2.</w:t>
      </w:r>
      <w:r w:rsidR="004F24EF" w:rsidRPr="004F24EF">
        <w:rPr>
          <w:rFonts w:ascii="Times New Roman" w:hAnsi="Times New Roman" w:cs="Times New Roman"/>
        </w:rPr>
        <w:t>257</w:t>
      </w:r>
      <w:r w:rsidR="00696FB5" w:rsidRPr="004F24EF">
        <w:rPr>
          <w:rFonts w:ascii="Times New Roman" w:hAnsi="Times New Roman" w:cs="Times New Roman"/>
        </w:rPr>
        <w:t>.</w:t>
      </w:r>
      <w:r w:rsidR="004F24EF" w:rsidRPr="004F24EF">
        <w:rPr>
          <w:rFonts w:ascii="Times New Roman" w:hAnsi="Times New Roman" w:cs="Times New Roman"/>
        </w:rPr>
        <w:t>484</w:t>
      </w:r>
      <w:r w:rsidR="00696FB5" w:rsidRPr="004F24EF">
        <w:rPr>
          <w:rFonts w:ascii="Times New Roman" w:hAnsi="Times New Roman" w:cs="Times New Roman"/>
        </w:rPr>
        <w:t xml:space="preserve"> kn što je 99,</w:t>
      </w:r>
      <w:r w:rsidR="004F24EF" w:rsidRPr="004F24EF">
        <w:rPr>
          <w:rFonts w:ascii="Times New Roman" w:hAnsi="Times New Roman" w:cs="Times New Roman"/>
        </w:rPr>
        <w:t>99</w:t>
      </w:r>
      <w:r w:rsidRPr="004F24EF">
        <w:rPr>
          <w:rFonts w:ascii="Times New Roman" w:hAnsi="Times New Roman" w:cs="Times New Roman"/>
        </w:rPr>
        <w:t xml:space="preserve">% </w:t>
      </w:r>
      <w:r w:rsidR="00696FB5" w:rsidRPr="004F24EF">
        <w:rPr>
          <w:rFonts w:ascii="Times New Roman" w:hAnsi="Times New Roman" w:cs="Times New Roman"/>
        </w:rPr>
        <w:t>od predviđenih 2.</w:t>
      </w:r>
      <w:r w:rsidR="004F24EF" w:rsidRPr="004F24EF">
        <w:rPr>
          <w:rFonts w:ascii="Times New Roman" w:hAnsi="Times New Roman" w:cs="Times New Roman"/>
        </w:rPr>
        <w:t>257</w:t>
      </w:r>
      <w:r w:rsidR="00696FB5" w:rsidRPr="004F24EF">
        <w:rPr>
          <w:rFonts w:ascii="Times New Roman" w:hAnsi="Times New Roman" w:cs="Times New Roman"/>
        </w:rPr>
        <w:t>.</w:t>
      </w:r>
      <w:r w:rsidR="004F24EF" w:rsidRPr="004F24EF">
        <w:rPr>
          <w:rFonts w:ascii="Times New Roman" w:hAnsi="Times New Roman" w:cs="Times New Roman"/>
        </w:rPr>
        <w:t>699</w:t>
      </w:r>
      <w:r w:rsidR="00696FB5" w:rsidRPr="004F24EF">
        <w:rPr>
          <w:rFonts w:ascii="Times New Roman" w:hAnsi="Times New Roman" w:cs="Times New Roman"/>
        </w:rPr>
        <w:t xml:space="preserve"> kn. </w:t>
      </w:r>
      <w:bookmarkStart w:id="5" w:name="_Hlk64574214"/>
      <w:r w:rsidR="00696FB5" w:rsidRPr="004F24EF">
        <w:rPr>
          <w:rFonts w:ascii="Times New Roman" w:hAnsi="Times New Roman" w:cs="Times New Roman"/>
        </w:rPr>
        <w:t xml:space="preserve">Iz navedenih sredstava za </w:t>
      </w:r>
      <w:r w:rsidRPr="004F24EF">
        <w:rPr>
          <w:rFonts w:ascii="Times New Roman" w:hAnsi="Times New Roman" w:cs="Times New Roman"/>
        </w:rPr>
        <w:t xml:space="preserve">financiranje rashoda poslovanja </w:t>
      </w:r>
      <w:r w:rsidR="00696FB5" w:rsidRPr="004F24EF">
        <w:rPr>
          <w:rFonts w:ascii="Times New Roman" w:hAnsi="Times New Roman" w:cs="Times New Roman"/>
        </w:rPr>
        <w:t xml:space="preserve">utrošen je </w:t>
      </w:r>
      <w:r w:rsidRPr="004F24EF">
        <w:rPr>
          <w:rFonts w:ascii="Times New Roman" w:hAnsi="Times New Roman" w:cs="Times New Roman"/>
        </w:rPr>
        <w:t>iznos</w:t>
      </w:r>
      <w:r w:rsidR="00696FB5" w:rsidRPr="004F24EF">
        <w:rPr>
          <w:rFonts w:ascii="Times New Roman" w:hAnsi="Times New Roman" w:cs="Times New Roman"/>
        </w:rPr>
        <w:t xml:space="preserve"> od</w:t>
      </w:r>
      <w:r w:rsidRPr="004F24EF">
        <w:rPr>
          <w:rFonts w:ascii="Times New Roman" w:hAnsi="Times New Roman" w:cs="Times New Roman"/>
        </w:rPr>
        <w:t xml:space="preserve"> </w:t>
      </w:r>
      <w:bookmarkEnd w:id="5"/>
      <w:r w:rsidR="004F24EF" w:rsidRPr="004F24EF">
        <w:rPr>
          <w:rFonts w:ascii="Times New Roman" w:hAnsi="Times New Roman" w:cs="Times New Roman"/>
        </w:rPr>
        <w:t>434</w:t>
      </w:r>
      <w:r w:rsidR="00F105EA" w:rsidRPr="004F24EF">
        <w:rPr>
          <w:rFonts w:ascii="Times New Roman" w:hAnsi="Times New Roman" w:cs="Times New Roman"/>
        </w:rPr>
        <w:t>.</w:t>
      </w:r>
      <w:r w:rsidR="004F24EF" w:rsidRPr="004F24EF">
        <w:rPr>
          <w:rFonts w:ascii="Times New Roman" w:hAnsi="Times New Roman" w:cs="Times New Roman"/>
        </w:rPr>
        <w:t>378</w:t>
      </w:r>
      <w:r w:rsidR="00F105EA" w:rsidRPr="004F24EF">
        <w:rPr>
          <w:rFonts w:ascii="Times New Roman" w:hAnsi="Times New Roman" w:cs="Times New Roman"/>
        </w:rPr>
        <w:t xml:space="preserve"> </w:t>
      </w:r>
      <w:r w:rsidRPr="004F24EF">
        <w:rPr>
          <w:rFonts w:ascii="Times New Roman" w:hAnsi="Times New Roman" w:cs="Times New Roman"/>
        </w:rPr>
        <w:t>kuna</w:t>
      </w:r>
      <w:r w:rsidR="00696FB5" w:rsidRPr="004F24EF">
        <w:rPr>
          <w:rFonts w:ascii="Times New Roman" w:hAnsi="Times New Roman" w:cs="Times New Roman"/>
        </w:rPr>
        <w:t xml:space="preserve"> (od čega za kamate za HBOR kredit 2</w:t>
      </w:r>
      <w:r w:rsidR="004F24EF" w:rsidRPr="004F24EF">
        <w:rPr>
          <w:rFonts w:ascii="Times New Roman" w:hAnsi="Times New Roman" w:cs="Times New Roman"/>
        </w:rPr>
        <w:t>40</w:t>
      </w:r>
      <w:r w:rsidR="00696FB5" w:rsidRPr="004F24EF">
        <w:rPr>
          <w:rFonts w:ascii="Times New Roman" w:hAnsi="Times New Roman" w:cs="Times New Roman"/>
        </w:rPr>
        <w:t>.</w:t>
      </w:r>
      <w:r w:rsidR="004F24EF" w:rsidRPr="004F24EF">
        <w:rPr>
          <w:rFonts w:ascii="Times New Roman" w:hAnsi="Times New Roman" w:cs="Times New Roman"/>
        </w:rPr>
        <w:t>148</w:t>
      </w:r>
      <w:r w:rsidR="00696FB5" w:rsidRPr="004F24EF">
        <w:rPr>
          <w:rFonts w:ascii="Times New Roman" w:hAnsi="Times New Roman" w:cs="Times New Roman"/>
        </w:rPr>
        <w:t xml:space="preserve"> i za rashode poslovanja </w:t>
      </w:r>
      <w:r w:rsidR="004F24EF" w:rsidRPr="004F24EF">
        <w:rPr>
          <w:rFonts w:ascii="Times New Roman" w:hAnsi="Times New Roman" w:cs="Times New Roman"/>
        </w:rPr>
        <w:t>194</w:t>
      </w:r>
      <w:r w:rsidR="00696FB5" w:rsidRPr="004F24EF">
        <w:rPr>
          <w:rFonts w:ascii="Times New Roman" w:hAnsi="Times New Roman" w:cs="Times New Roman"/>
        </w:rPr>
        <w:t>.</w:t>
      </w:r>
      <w:r w:rsidR="004F24EF" w:rsidRPr="004F24EF">
        <w:rPr>
          <w:rFonts w:ascii="Times New Roman" w:hAnsi="Times New Roman" w:cs="Times New Roman"/>
        </w:rPr>
        <w:t>230</w:t>
      </w:r>
      <w:r w:rsidR="00696FB5" w:rsidRPr="004F24EF">
        <w:rPr>
          <w:rFonts w:ascii="Times New Roman" w:hAnsi="Times New Roman" w:cs="Times New Roman"/>
        </w:rPr>
        <w:t xml:space="preserve"> kn)</w:t>
      </w:r>
      <w:r w:rsidRPr="004F24EF">
        <w:rPr>
          <w:rFonts w:ascii="Times New Roman" w:hAnsi="Times New Roman" w:cs="Times New Roman"/>
        </w:rPr>
        <w:t xml:space="preserve">, za financiranje rashoda za nefinancijsku imovinu u iznosu od </w:t>
      </w:r>
      <w:r w:rsidR="004F24EF" w:rsidRPr="004F24EF">
        <w:rPr>
          <w:rFonts w:ascii="Times New Roman" w:hAnsi="Times New Roman" w:cs="Times New Roman"/>
        </w:rPr>
        <w:t>828</w:t>
      </w:r>
      <w:r w:rsidR="00F105EA" w:rsidRPr="004F24EF">
        <w:rPr>
          <w:rFonts w:ascii="Times New Roman" w:hAnsi="Times New Roman" w:cs="Times New Roman"/>
        </w:rPr>
        <w:t>.</w:t>
      </w:r>
      <w:r w:rsidR="004F24EF" w:rsidRPr="004F24EF">
        <w:rPr>
          <w:rFonts w:ascii="Times New Roman" w:hAnsi="Times New Roman" w:cs="Times New Roman"/>
        </w:rPr>
        <w:t>9</w:t>
      </w:r>
      <w:r w:rsidR="00696FB5" w:rsidRPr="004F24EF">
        <w:rPr>
          <w:rFonts w:ascii="Times New Roman" w:hAnsi="Times New Roman" w:cs="Times New Roman"/>
        </w:rPr>
        <w:t>95</w:t>
      </w:r>
      <w:r w:rsidR="00F105EA" w:rsidRPr="004F24EF">
        <w:rPr>
          <w:rFonts w:ascii="Times New Roman" w:hAnsi="Times New Roman" w:cs="Times New Roman"/>
        </w:rPr>
        <w:t xml:space="preserve"> </w:t>
      </w:r>
      <w:r w:rsidRPr="004F24EF">
        <w:rPr>
          <w:rFonts w:ascii="Times New Roman" w:hAnsi="Times New Roman" w:cs="Times New Roman"/>
        </w:rPr>
        <w:t>kuna</w:t>
      </w:r>
      <w:r w:rsidR="00696FB5" w:rsidRPr="004F24EF">
        <w:rPr>
          <w:rFonts w:ascii="Times New Roman" w:hAnsi="Times New Roman" w:cs="Times New Roman"/>
        </w:rPr>
        <w:t xml:space="preserve">, te za otplatu zajmova (kredit za energetsku obnovu – glavnica </w:t>
      </w:r>
      <w:r w:rsidR="004F24EF" w:rsidRPr="004F24EF">
        <w:rPr>
          <w:rFonts w:ascii="Times New Roman" w:hAnsi="Times New Roman" w:cs="Times New Roman"/>
        </w:rPr>
        <w:t>994</w:t>
      </w:r>
      <w:r w:rsidR="00696FB5" w:rsidRPr="004F24EF">
        <w:rPr>
          <w:rFonts w:ascii="Times New Roman" w:hAnsi="Times New Roman" w:cs="Times New Roman"/>
        </w:rPr>
        <w:t>.</w:t>
      </w:r>
      <w:r w:rsidR="004F24EF" w:rsidRPr="004F24EF">
        <w:rPr>
          <w:rFonts w:ascii="Times New Roman" w:hAnsi="Times New Roman" w:cs="Times New Roman"/>
        </w:rPr>
        <w:t>111</w:t>
      </w:r>
      <w:r w:rsidR="00696FB5" w:rsidRPr="004F24EF">
        <w:rPr>
          <w:rFonts w:ascii="Times New Roman" w:hAnsi="Times New Roman" w:cs="Times New Roman"/>
        </w:rPr>
        <w:t xml:space="preserve"> kn).</w:t>
      </w:r>
    </w:p>
    <w:p w:rsidR="000F4896" w:rsidRPr="004F24EF" w:rsidRDefault="000F4896" w:rsidP="007035F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24EF">
        <w:rPr>
          <w:rFonts w:ascii="Times New Roman" w:hAnsi="Times New Roman" w:cs="Times New Roman"/>
        </w:rPr>
        <w:t xml:space="preserve">Prihoda na temelju ugovornih obveza s HZZO u iznosu </w:t>
      </w:r>
      <w:r w:rsidR="004F24EF" w:rsidRPr="004F24EF">
        <w:rPr>
          <w:rFonts w:ascii="Times New Roman" w:hAnsi="Times New Roman" w:cs="Times New Roman"/>
        </w:rPr>
        <w:t>45</w:t>
      </w:r>
      <w:r w:rsidR="00696FB5" w:rsidRPr="004F24EF">
        <w:rPr>
          <w:rFonts w:ascii="Times New Roman" w:hAnsi="Times New Roman" w:cs="Times New Roman"/>
        </w:rPr>
        <w:t>.</w:t>
      </w:r>
      <w:r w:rsidR="004F24EF" w:rsidRPr="004F24EF">
        <w:rPr>
          <w:rFonts w:ascii="Times New Roman" w:hAnsi="Times New Roman" w:cs="Times New Roman"/>
        </w:rPr>
        <w:t>610</w:t>
      </w:r>
      <w:r w:rsidR="00696FB5" w:rsidRPr="004F24EF">
        <w:rPr>
          <w:rFonts w:ascii="Times New Roman" w:hAnsi="Times New Roman" w:cs="Times New Roman"/>
        </w:rPr>
        <w:t>.</w:t>
      </w:r>
      <w:r w:rsidR="004F24EF" w:rsidRPr="004F24EF">
        <w:rPr>
          <w:rFonts w:ascii="Times New Roman" w:hAnsi="Times New Roman" w:cs="Times New Roman"/>
        </w:rPr>
        <w:t>342</w:t>
      </w:r>
      <w:r w:rsidR="00F105EA" w:rsidRPr="004F24EF">
        <w:rPr>
          <w:rFonts w:ascii="Times New Roman" w:hAnsi="Times New Roman" w:cs="Times New Roman"/>
        </w:rPr>
        <w:t xml:space="preserve"> </w:t>
      </w:r>
      <w:r w:rsidRPr="004F24EF">
        <w:rPr>
          <w:rFonts w:ascii="Times New Roman" w:hAnsi="Times New Roman" w:cs="Times New Roman"/>
        </w:rPr>
        <w:t xml:space="preserve">kuna što je </w:t>
      </w:r>
      <w:r w:rsidR="004F24EF" w:rsidRPr="004F24EF">
        <w:rPr>
          <w:rFonts w:ascii="Times New Roman" w:hAnsi="Times New Roman" w:cs="Times New Roman"/>
        </w:rPr>
        <w:t>7</w:t>
      </w:r>
      <w:r w:rsidR="00696FB5" w:rsidRPr="004F24EF">
        <w:rPr>
          <w:rFonts w:ascii="Times New Roman" w:hAnsi="Times New Roman" w:cs="Times New Roman"/>
        </w:rPr>
        <w:t>8</w:t>
      </w:r>
      <w:r w:rsidR="007F27C1" w:rsidRPr="004F24EF">
        <w:rPr>
          <w:rFonts w:ascii="Times New Roman" w:hAnsi="Times New Roman" w:cs="Times New Roman"/>
        </w:rPr>
        <w:t>,</w:t>
      </w:r>
      <w:r w:rsidR="004F24EF" w:rsidRPr="004F24EF">
        <w:rPr>
          <w:rFonts w:ascii="Times New Roman" w:hAnsi="Times New Roman" w:cs="Times New Roman"/>
        </w:rPr>
        <w:t>55</w:t>
      </w:r>
      <w:r w:rsidR="00696FB5" w:rsidRPr="004F24EF">
        <w:rPr>
          <w:rFonts w:ascii="Times New Roman" w:hAnsi="Times New Roman" w:cs="Times New Roman"/>
        </w:rPr>
        <w:t xml:space="preserve"> </w:t>
      </w:r>
      <w:r w:rsidR="00850C59" w:rsidRPr="004F24EF">
        <w:rPr>
          <w:rFonts w:ascii="Times New Roman" w:hAnsi="Times New Roman" w:cs="Times New Roman"/>
        </w:rPr>
        <w:t xml:space="preserve">% u odnosu na planiranih </w:t>
      </w:r>
      <w:r w:rsidR="00696FB5" w:rsidRPr="004F24EF">
        <w:rPr>
          <w:rFonts w:ascii="Times New Roman" w:hAnsi="Times New Roman" w:cs="Times New Roman"/>
        </w:rPr>
        <w:t>5</w:t>
      </w:r>
      <w:r w:rsidR="004F24EF" w:rsidRPr="004F24EF">
        <w:rPr>
          <w:rFonts w:ascii="Times New Roman" w:hAnsi="Times New Roman" w:cs="Times New Roman"/>
        </w:rPr>
        <w:t>8</w:t>
      </w:r>
      <w:r w:rsidR="00F105EA" w:rsidRPr="004F24EF">
        <w:rPr>
          <w:rFonts w:ascii="Times New Roman" w:hAnsi="Times New Roman" w:cs="Times New Roman"/>
        </w:rPr>
        <w:t>.</w:t>
      </w:r>
      <w:r w:rsidR="004F24EF" w:rsidRPr="004F24EF">
        <w:rPr>
          <w:rFonts w:ascii="Times New Roman" w:hAnsi="Times New Roman" w:cs="Times New Roman"/>
        </w:rPr>
        <w:t>067</w:t>
      </w:r>
      <w:r w:rsidR="00F105EA" w:rsidRPr="004F24EF">
        <w:rPr>
          <w:rFonts w:ascii="Times New Roman" w:hAnsi="Times New Roman" w:cs="Times New Roman"/>
        </w:rPr>
        <w:t>.</w:t>
      </w:r>
      <w:r w:rsidR="004F24EF" w:rsidRPr="004F24EF">
        <w:rPr>
          <w:rFonts w:ascii="Times New Roman" w:hAnsi="Times New Roman" w:cs="Times New Roman"/>
        </w:rPr>
        <w:t>276</w:t>
      </w:r>
      <w:r w:rsidR="00F105EA" w:rsidRPr="004F24EF">
        <w:rPr>
          <w:rFonts w:ascii="Times New Roman" w:hAnsi="Times New Roman" w:cs="Times New Roman"/>
        </w:rPr>
        <w:t xml:space="preserve"> </w:t>
      </w:r>
      <w:r w:rsidR="00850C59" w:rsidRPr="004F24EF">
        <w:rPr>
          <w:rFonts w:ascii="Times New Roman" w:hAnsi="Times New Roman" w:cs="Times New Roman"/>
        </w:rPr>
        <w:t>kuna.</w:t>
      </w:r>
    </w:p>
    <w:p w:rsidR="00F105EA" w:rsidRPr="001D3FF6" w:rsidRDefault="00F105EA" w:rsidP="00F105EA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0F4896" w:rsidRDefault="000F4896" w:rsidP="00F11BAE">
      <w:pPr>
        <w:pStyle w:val="Bezproreda"/>
        <w:jc w:val="both"/>
        <w:rPr>
          <w:rFonts w:ascii="Times New Roman" w:hAnsi="Times New Roman" w:cs="Times New Roman"/>
          <w:b/>
        </w:rPr>
      </w:pPr>
      <w:r w:rsidRPr="001D3FF6">
        <w:rPr>
          <w:rFonts w:ascii="Times New Roman" w:hAnsi="Times New Roman" w:cs="Times New Roman"/>
          <w:b/>
        </w:rPr>
        <w:t>68- Kazne, upravne mjere i ostali prihodi</w:t>
      </w:r>
    </w:p>
    <w:p w:rsidR="001D3FF6" w:rsidRPr="001D3FF6" w:rsidRDefault="001D3FF6" w:rsidP="00F11BAE">
      <w:pPr>
        <w:pStyle w:val="Bezproreda"/>
        <w:jc w:val="both"/>
        <w:rPr>
          <w:rFonts w:ascii="Times New Roman" w:hAnsi="Times New Roman" w:cs="Times New Roman"/>
          <w:b/>
        </w:rPr>
      </w:pPr>
    </w:p>
    <w:p w:rsidR="005668DC" w:rsidRPr="001D3FF6" w:rsidRDefault="000F4896" w:rsidP="007035FA">
      <w:pPr>
        <w:jc w:val="both"/>
        <w:rPr>
          <w:rFonts w:ascii="Times New Roman" w:hAnsi="Times New Roman" w:cs="Times New Roman"/>
        </w:rPr>
      </w:pPr>
      <w:r w:rsidRPr="001D3FF6">
        <w:rPr>
          <w:rFonts w:ascii="Times New Roman" w:hAnsi="Times New Roman" w:cs="Times New Roman"/>
        </w:rPr>
        <w:t xml:space="preserve">Prihodi po ovoj osnovi ostvareni su u iznosu od </w:t>
      </w:r>
      <w:r w:rsidR="0095423E">
        <w:rPr>
          <w:rFonts w:ascii="Times New Roman" w:hAnsi="Times New Roman" w:cs="Times New Roman"/>
        </w:rPr>
        <w:t>8</w:t>
      </w:r>
      <w:r w:rsidR="00205A97" w:rsidRPr="001D3FF6">
        <w:rPr>
          <w:rFonts w:ascii="Times New Roman" w:hAnsi="Times New Roman" w:cs="Times New Roman"/>
        </w:rPr>
        <w:t>.</w:t>
      </w:r>
      <w:r w:rsidR="0095423E">
        <w:rPr>
          <w:rFonts w:ascii="Times New Roman" w:hAnsi="Times New Roman" w:cs="Times New Roman"/>
        </w:rPr>
        <w:t>5</w:t>
      </w:r>
      <w:r w:rsidR="00205A97" w:rsidRPr="001D3FF6">
        <w:rPr>
          <w:rFonts w:ascii="Times New Roman" w:hAnsi="Times New Roman" w:cs="Times New Roman"/>
        </w:rPr>
        <w:t>5</w:t>
      </w:r>
      <w:r w:rsidR="0095423E">
        <w:rPr>
          <w:rFonts w:ascii="Times New Roman" w:hAnsi="Times New Roman" w:cs="Times New Roman"/>
        </w:rPr>
        <w:t>2</w:t>
      </w:r>
      <w:r w:rsidR="00DC65B2" w:rsidRPr="001D3FF6">
        <w:rPr>
          <w:rFonts w:ascii="Times New Roman" w:hAnsi="Times New Roman" w:cs="Times New Roman"/>
        </w:rPr>
        <w:t xml:space="preserve"> </w:t>
      </w:r>
      <w:r w:rsidRPr="001D3FF6">
        <w:rPr>
          <w:rFonts w:ascii="Times New Roman" w:hAnsi="Times New Roman" w:cs="Times New Roman"/>
        </w:rPr>
        <w:t>kun</w:t>
      </w:r>
      <w:r w:rsidR="0095423E">
        <w:rPr>
          <w:rFonts w:ascii="Times New Roman" w:hAnsi="Times New Roman" w:cs="Times New Roman"/>
        </w:rPr>
        <w:t>e</w:t>
      </w:r>
      <w:r w:rsidRPr="001D3FF6">
        <w:rPr>
          <w:rFonts w:ascii="Times New Roman" w:hAnsi="Times New Roman" w:cs="Times New Roman"/>
        </w:rPr>
        <w:t xml:space="preserve">, </w:t>
      </w:r>
      <w:r w:rsidR="0095423E">
        <w:rPr>
          <w:rFonts w:ascii="Times New Roman" w:hAnsi="Times New Roman" w:cs="Times New Roman"/>
        </w:rPr>
        <w:t>85</w:t>
      </w:r>
      <w:r w:rsidR="007F27C1">
        <w:rPr>
          <w:rFonts w:ascii="Times New Roman" w:hAnsi="Times New Roman" w:cs="Times New Roman"/>
        </w:rPr>
        <w:t>,</w:t>
      </w:r>
      <w:r w:rsidR="0095423E">
        <w:rPr>
          <w:rFonts w:ascii="Times New Roman" w:hAnsi="Times New Roman" w:cs="Times New Roman"/>
        </w:rPr>
        <w:t>52</w:t>
      </w:r>
      <w:r w:rsidR="00205A97" w:rsidRPr="001D3FF6">
        <w:rPr>
          <w:rFonts w:ascii="Times New Roman" w:hAnsi="Times New Roman" w:cs="Times New Roman"/>
        </w:rPr>
        <w:t xml:space="preserve"> </w:t>
      </w:r>
      <w:r w:rsidRPr="001D3FF6">
        <w:rPr>
          <w:rFonts w:ascii="Times New Roman" w:hAnsi="Times New Roman" w:cs="Times New Roman"/>
        </w:rPr>
        <w:t>% od planiranih</w:t>
      </w:r>
      <w:r w:rsidR="00850C59" w:rsidRPr="001D3FF6">
        <w:rPr>
          <w:rFonts w:ascii="Times New Roman" w:hAnsi="Times New Roman" w:cs="Times New Roman"/>
        </w:rPr>
        <w:t xml:space="preserve"> </w:t>
      </w:r>
      <w:r w:rsidR="0095423E">
        <w:rPr>
          <w:rFonts w:ascii="Times New Roman" w:hAnsi="Times New Roman" w:cs="Times New Roman"/>
        </w:rPr>
        <w:t>1</w:t>
      </w:r>
      <w:r w:rsidR="00205A97" w:rsidRPr="001D3FF6">
        <w:rPr>
          <w:rFonts w:ascii="Times New Roman" w:hAnsi="Times New Roman" w:cs="Times New Roman"/>
        </w:rPr>
        <w:t>0</w:t>
      </w:r>
      <w:r w:rsidR="00DC65B2" w:rsidRPr="001D3FF6">
        <w:rPr>
          <w:rFonts w:ascii="Times New Roman" w:hAnsi="Times New Roman" w:cs="Times New Roman"/>
        </w:rPr>
        <w:t xml:space="preserve">.000 </w:t>
      </w:r>
      <w:r w:rsidR="00850C59" w:rsidRPr="001D3FF6">
        <w:rPr>
          <w:rFonts w:ascii="Times New Roman" w:hAnsi="Times New Roman" w:cs="Times New Roman"/>
        </w:rPr>
        <w:t>kuna</w:t>
      </w:r>
      <w:r w:rsidR="0095423E">
        <w:rPr>
          <w:rFonts w:ascii="Times New Roman" w:hAnsi="Times New Roman" w:cs="Times New Roman"/>
        </w:rPr>
        <w:t>.</w:t>
      </w:r>
    </w:p>
    <w:p w:rsidR="00053D7F" w:rsidRPr="001D3FF6" w:rsidRDefault="00850C59" w:rsidP="00F11BAE">
      <w:pPr>
        <w:jc w:val="both"/>
        <w:rPr>
          <w:rFonts w:ascii="Times New Roman" w:hAnsi="Times New Roman" w:cs="Times New Roman"/>
          <w:b/>
        </w:rPr>
      </w:pPr>
      <w:r w:rsidRPr="001D3FF6">
        <w:rPr>
          <w:rFonts w:ascii="Times New Roman" w:hAnsi="Times New Roman" w:cs="Times New Roman"/>
          <w:b/>
        </w:rPr>
        <w:t>7 - PRIHODI OD PRODAJE NEFINANCIJSKE IMOVINE</w:t>
      </w:r>
    </w:p>
    <w:p w:rsidR="00E36462" w:rsidRPr="001D3FF6" w:rsidRDefault="00E36462" w:rsidP="009B76E8">
      <w:pPr>
        <w:jc w:val="both"/>
        <w:rPr>
          <w:rFonts w:ascii="Times New Roman" w:hAnsi="Times New Roman" w:cs="Times New Roman"/>
        </w:rPr>
      </w:pPr>
      <w:r w:rsidRPr="001D3FF6">
        <w:rPr>
          <w:rFonts w:ascii="Times New Roman" w:hAnsi="Times New Roman" w:cs="Times New Roman"/>
        </w:rPr>
        <w:t xml:space="preserve">Prihodi po ovoj osnovi ostvareni su u iznosu od </w:t>
      </w:r>
      <w:r w:rsidR="00205A97" w:rsidRPr="001D3FF6">
        <w:rPr>
          <w:rFonts w:ascii="Times New Roman" w:hAnsi="Times New Roman" w:cs="Times New Roman"/>
        </w:rPr>
        <w:t>1</w:t>
      </w:r>
      <w:r w:rsidR="0095423E">
        <w:rPr>
          <w:rFonts w:ascii="Times New Roman" w:hAnsi="Times New Roman" w:cs="Times New Roman"/>
        </w:rPr>
        <w:t>2</w:t>
      </w:r>
      <w:r w:rsidR="00205A97" w:rsidRPr="001D3FF6">
        <w:rPr>
          <w:rFonts w:ascii="Times New Roman" w:hAnsi="Times New Roman" w:cs="Times New Roman"/>
        </w:rPr>
        <w:t>.</w:t>
      </w:r>
      <w:r w:rsidR="0095423E">
        <w:rPr>
          <w:rFonts w:ascii="Times New Roman" w:hAnsi="Times New Roman" w:cs="Times New Roman"/>
        </w:rPr>
        <w:t>180</w:t>
      </w:r>
      <w:r w:rsidR="000C61E8" w:rsidRPr="001D3FF6">
        <w:rPr>
          <w:rFonts w:ascii="Times New Roman" w:hAnsi="Times New Roman" w:cs="Times New Roman"/>
        </w:rPr>
        <w:t xml:space="preserve"> </w:t>
      </w:r>
      <w:r w:rsidRPr="001D3FF6">
        <w:rPr>
          <w:rFonts w:ascii="Times New Roman" w:hAnsi="Times New Roman" w:cs="Times New Roman"/>
        </w:rPr>
        <w:t xml:space="preserve">kuna, </w:t>
      </w:r>
      <w:r w:rsidR="0095423E">
        <w:rPr>
          <w:rFonts w:ascii="Times New Roman" w:hAnsi="Times New Roman" w:cs="Times New Roman"/>
        </w:rPr>
        <w:t>93</w:t>
      </w:r>
      <w:r w:rsidR="007F27C1">
        <w:rPr>
          <w:rFonts w:ascii="Times New Roman" w:hAnsi="Times New Roman" w:cs="Times New Roman"/>
        </w:rPr>
        <w:t>,</w:t>
      </w:r>
      <w:r w:rsidR="0095423E">
        <w:rPr>
          <w:rFonts w:ascii="Times New Roman" w:hAnsi="Times New Roman" w:cs="Times New Roman"/>
        </w:rPr>
        <w:t>69</w:t>
      </w:r>
      <w:r w:rsidR="00205A97" w:rsidRPr="001D3FF6">
        <w:rPr>
          <w:rFonts w:ascii="Times New Roman" w:hAnsi="Times New Roman" w:cs="Times New Roman"/>
        </w:rPr>
        <w:t xml:space="preserve"> </w:t>
      </w:r>
      <w:r w:rsidR="009B76E8" w:rsidRPr="001D3FF6">
        <w:rPr>
          <w:rFonts w:ascii="Times New Roman" w:hAnsi="Times New Roman" w:cs="Times New Roman"/>
        </w:rPr>
        <w:t>% od planiranih.</w:t>
      </w:r>
      <w:r w:rsidR="00DF2FA0" w:rsidRPr="001D3FF6">
        <w:rPr>
          <w:rFonts w:ascii="Times New Roman" w:hAnsi="Times New Roman" w:cs="Times New Roman"/>
        </w:rPr>
        <w:t xml:space="preserve"> Odnose se na otkup stanova.</w:t>
      </w:r>
    </w:p>
    <w:p w:rsidR="00850C59" w:rsidRPr="001D3FF6" w:rsidRDefault="00E36462" w:rsidP="00F11BAE">
      <w:pPr>
        <w:jc w:val="both"/>
        <w:rPr>
          <w:rFonts w:ascii="Times New Roman" w:hAnsi="Times New Roman" w:cs="Times New Roman"/>
          <w:b/>
        </w:rPr>
      </w:pPr>
      <w:r w:rsidRPr="001D3FF6">
        <w:rPr>
          <w:rFonts w:ascii="Times New Roman" w:hAnsi="Times New Roman" w:cs="Times New Roman"/>
          <w:b/>
        </w:rPr>
        <w:t>8 – PRIMICI OD FINANCIJSKE IMOVINE I ZADUŽIVANJA</w:t>
      </w:r>
    </w:p>
    <w:p w:rsidR="00850C59" w:rsidRPr="001D3FF6" w:rsidRDefault="0095423E" w:rsidP="005B0F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F2FA0" w:rsidRPr="001D3FF6">
        <w:rPr>
          <w:rFonts w:ascii="Times New Roman" w:hAnsi="Times New Roman" w:cs="Times New Roman"/>
        </w:rPr>
        <w:t xml:space="preserve">bog potrebe likvidnosti bilo nužno podignuti kratkoročni kredit kod poslovne banke HPB (dozvoljeni minus po žiro računu). Bez ovog kredita Bolnica bi ostala bez sredstava za poslovanje. </w:t>
      </w:r>
      <w:r>
        <w:rPr>
          <w:rFonts w:ascii="Times New Roman" w:hAnsi="Times New Roman" w:cs="Times New Roman"/>
        </w:rPr>
        <w:t>Ovaj prihod nije bio planiran, ali je ostvaren na kraju godine zbog insolventnosti.</w:t>
      </w:r>
    </w:p>
    <w:p w:rsidR="00850C59" w:rsidRPr="007F27C1" w:rsidRDefault="008C6303" w:rsidP="005B0FEF">
      <w:p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7C1">
        <w:rPr>
          <w:rFonts w:ascii="Times New Roman" w:hAnsi="Times New Roman" w:cs="Times New Roman"/>
          <w:b/>
          <w:i/>
        </w:rPr>
        <w:t>C</w:t>
      </w:r>
      <w:r w:rsidR="00E36462" w:rsidRPr="007F27C1">
        <w:rPr>
          <w:rFonts w:ascii="Times New Roman" w:hAnsi="Times New Roman" w:cs="Times New Roman"/>
          <w:b/>
          <w:i/>
        </w:rPr>
        <w:t xml:space="preserve">) </w:t>
      </w:r>
      <w:r w:rsidR="00E36462" w:rsidRPr="007F27C1">
        <w:rPr>
          <w:rFonts w:ascii="Times New Roman" w:hAnsi="Times New Roman" w:cs="Times New Roman"/>
          <w:b/>
          <w:i/>
          <w:sz w:val="24"/>
          <w:szCs w:val="24"/>
        </w:rPr>
        <w:t>UKUPNI RASHO</w:t>
      </w:r>
      <w:r w:rsidRPr="007F27C1">
        <w:rPr>
          <w:rFonts w:ascii="Times New Roman" w:hAnsi="Times New Roman" w:cs="Times New Roman"/>
          <w:b/>
          <w:i/>
          <w:sz w:val="24"/>
          <w:szCs w:val="24"/>
        </w:rPr>
        <w:t>DI I IZDACI za razdoblje od 01.01. do 31.12.</w:t>
      </w:r>
      <w:r w:rsidR="00E36462" w:rsidRPr="007F27C1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AC7C65" w:rsidRPr="007F27C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5423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36462" w:rsidRPr="007F27C1">
        <w:rPr>
          <w:rFonts w:ascii="Times New Roman" w:hAnsi="Times New Roman" w:cs="Times New Roman"/>
          <w:b/>
          <w:i/>
          <w:sz w:val="24"/>
          <w:szCs w:val="24"/>
        </w:rPr>
        <w:t xml:space="preserve">. godine iznose </w:t>
      </w:r>
      <w:r w:rsidR="00DF2FA0" w:rsidRPr="007F27C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D065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DF2FA0" w:rsidRPr="007F27C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D065C">
        <w:rPr>
          <w:rFonts w:ascii="Times New Roman" w:hAnsi="Times New Roman" w:cs="Times New Roman"/>
          <w:b/>
          <w:i/>
          <w:sz w:val="24"/>
          <w:szCs w:val="24"/>
        </w:rPr>
        <w:t>667</w:t>
      </w:r>
      <w:r w:rsidR="00DF2FA0" w:rsidRPr="007F27C1">
        <w:rPr>
          <w:rFonts w:ascii="Times New Roman" w:hAnsi="Times New Roman" w:cs="Times New Roman"/>
          <w:b/>
          <w:i/>
          <w:sz w:val="24"/>
          <w:szCs w:val="24"/>
        </w:rPr>
        <w:t>.3</w:t>
      </w:r>
      <w:r w:rsidR="004D065C">
        <w:rPr>
          <w:rFonts w:ascii="Times New Roman" w:hAnsi="Times New Roman" w:cs="Times New Roman"/>
          <w:b/>
          <w:i/>
          <w:sz w:val="24"/>
          <w:szCs w:val="24"/>
        </w:rPr>
        <w:t>63</w:t>
      </w:r>
      <w:r w:rsidR="00AC7C65" w:rsidRPr="007F27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2FA0" w:rsidRPr="007F27C1">
        <w:rPr>
          <w:rFonts w:ascii="Times New Roman" w:hAnsi="Times New Roman" w:cs="Times New Roman"/>
          <w:b/>
          <w:i/>
          <w:sz w:val="24"/>
          <w:szCs w:val="24"/>
        </w:rPr>
        <w:t>kune</w:t>
      </w:r>
    </w:p>
    <w:p w:rsidR="00E36462" w:rsidRPr="003049EE" w:rsidRDefault="003F1EAB" w:rsidP="005B0FEF">
      <w:pPr>
        <w:jc w:val="both"/>
        <w:rPr>
          <w:rFonts w:ascii="Times New Roman" w:hAnsi="Times New Roman" w:cs="Times New Roman"/>
        </w:rPr>
      </w:pPr>
      <w:r w:rsidRPr="003049EE">
        <w:rPr>
          <w:rFonts w:ascii="Times New Roman" w:hAnsi="Times New Roman" w:cs="Times New Roman"/>
        </w:rPr>
        <w:t xml:space="preserve">       </w:t>
      </w:r>
      <w:r w:rsidR="000722C1" w:rsidRPr="003049EE">
        <w:rPr>
          <w:rFonts w:ascii="Times New Roman" w:hAnsi="Times New Roman" w:cs="Times New Roman"/>
        </w:rPr>
        <w:t xml:space="preserve"> </w:t>
      </w:r>
      <w:r w:rsidR="00E36462" w:rsidRPr="003049EE">
        <w:rPr>
          <w:rFonts w:ascii="Times New Roman" w:hAnsi="Times New Roman" w:cs="Times New Roman"/>
        </w:rPr>
        <w:t xml:space="preserve">Rashodi poslovanja                                                                                </w:t>
      </w:r>
      <w:r w:rsidRPr="003049EE">
        <w:rPr>
          <w:rFonts w:ascii="Times New Roman" w:hAnsi="Times New Roman" w:cs="Times New Roman"/>
        </w:rPr>
        <w:t xml:space="preserve">    </w:t>
      </w:r>
      <w:r w:rsidR="00DF2FA0" w:rsidRPr="003049EE">
        <w:rPr>
          <w:rFonts w:ascii="Times New Roman" w:hAnsi="Times New Roman" w:cs="Times New Roman"/>
        </w:rPr>
        <w:t xml:space="preserve">     </w:t>
      </w:r>
      <w:r w:rsidR="007F27C1">
        <w:rPr>
          <w:rFonts w:ascii="Times New Roman" w:hAnsi="Times New Roman" w:cs="Times New Roman"/>
        </w:rPr>
        <w:t xml:space="preserve"> </w:t>
      </w:r>
      <w:r w:rsidR="00DF2FA0" w:rsidRPr="003049EE">
        <w:rPr>
          <w:rFonts w:ascii="Times New Roman" w:hAnsi="Times New Roman" w:cs="Times New Roman"/>
        </w:rPr>
        <w:t>5</w:t>
      </w:r>
      <w:r w:rsidR="0095423E">
        <w:rPr>
          <w:rFonts w:ascii="Times New Roman" w:hAnsi="Times New Roman" w:cs="Times New Roman"/>
        </w:rPr>
        <w:t>7</w:t>
      </w:r>
      <w:r w:rsidR="00DC4048" w:rsidRPr="003049EE">
        <w:rPr>
          <w:rFonts w:ascii="Times New Roman" w:hAnsi="Times New Roman" w:cs="Times New Roman"/>
        </w:rPr>
        <w:t>.</w:t>
      </w:r>
      <w:r w:rsidR="0095423E">
        <w:rPr>
          <w:rFonts w:ascii="Times New Roman" w:hAnsi="Times New Roman" w:cs="Times New Roman"/>
        </w:rPr>
        <w:t>309</w:t>
      </w:r>
      <w:r w:rsidR="00DF2FA0" w:rsidRPr="003049EE">
        <w:rPr>
          <w:rFonts w:ascii="Times New Roman" w:hAnsi="Times New Roman" w:cs="Times New Roman"/>
        </w:rPr>
        <w:t>.</w:t>
      </w:r>
      <w:r w:rsidR="0095423E">
        <w:rPr>
          <w:rFonts w:ascii="Times New Roman" w:hAnsi="Times New Roman" w:cs="Times New Roman"/>
        </w:rPr>
        <w:t>953</w:t>
      </w:r>
      <w:r w:rsidR="00DC4048" w:rsidRPr="003049EE">
        <w:rPr>
          <w:rFonts w:ascii="Times New Roman" w:hAnsi="Times New Roman" w:cs="Times New Roman"/>
        </w:rPr>
        <w:t xml:space="preserve"> </w:t>
      </w:r>
      <w:r w:rsidR="00E36462" w:rsidRPr="003049EE">
        <w:rPr>
          <w:rFonts w:ascii="Times New Roman" w:hAnsi="Times New Roman" w:cs="Times New Roman"/>
        </w:rPr>
        <w:t>kn</w:t>
      </w:r>
    </w:p>
    <w:p w:rsidR="003F1EAB" w:rsidRPr="003049EE" w:rsidRDefault="000722C1" w:rsidP="003F1EAB">
      <w:pPr>
        <w:jc w:val="both"/>
        <w:rPr>
          <w:rFonts w:ascii="Times New Roman" w:hAnsi="Times New Roman" w:cs="Times New Roman"/>
        </w:rPr>
      </w:pPr>
      <w:r w:rsidRPr="003049EE">
        <w:rPr>
          <w:rFonts w:ascii="Times New Roman" w:hAnsi="Times New Roman" w:cs="Times New Roman"/>
        </w:rPr>
        <w:t xml:space="preserve">        </w:t>
      </w:r>
      <w:r w:rsidR="00E36462" w:rsidRPr="003049EE">
        <w:rPr>
          <w:rFonts w:ascii="Times New Roman" w:hAnsi="Times New Roman" w:cs="Times New Roman"/>
        </w:rPr>
        <w:t xml:space="preserve">Rashodi za nabavu nefinancijske imovine                                   </w:t>
      </w:r>
      <w:r w:rsidR="003F1EAB" w:rsidRPr="003049EE">
        <w:rPr>
          <w:rFonts w:ascii="Times New Roman" w:hAnsi="Times New Roman" w:cs="Times New Roman"/>
        </w:rPr>
        <w:t xml:space="preserve">    </w:t>
      </w:r>
      <w:r w:rsidR="00E36462" w:rsidRPr="003049EE">
        <w:rPr>
          <w:rFonts w:ascii="Times New Roman" w:hAnsi="Times New Roman" w:cs="Times New Roman"/>
        </w:rPr>
        <w:t xml:space="preserve">        </w:t>
      </w:r>
      <w:r w:rsidR="00883A19" w:rsidRPr="003049EE">
        <w:rPr>
          <w:rFonts w:ascii="Times New Roman" w:hAnsi="Times New Roman" w:cs="Times New Roman"/>
        </w:rPr>
        <w:t xml:space="preserve">    </w:t>
      </w:r>
      <w:r w:rsidR="007F27C1">
        <w:rPr>
          <w:rFonts w:ascii="Times New Roman" w:hAnsi="Times New Roman" w:cs="Times New Roman"/>
        </w:rPr>
        <w:t xml:space="preserve">     </w:t>
      </w:r>
      <w:r w:rsidR="004D065C">
        <w:rPr>
          <w:rFonts w:ascii="Times New Roman" w:hAnsi="Times New Roman" w:cs="Times New Roman"/>
        </w:rPr>
        <w:t xml:space="preserve"> 1</w:t>
      </w:r>
      <w:r w:rsidR="00883A19" w:rsidRPr="003049EE">
        <w:rPr>
          <w:rFonts w:ascii="Times New Roman" w:hAnsi="Times New Roman" w:cs="Times New Roman"/>
        </w:rPr>
        <w:t>.</w:t>
      </w:r>
      <w:r w:rsidR="004D065C">
        <w:rPr>
          <w:rFonts w:ascii="Times New Roman" w:hAnsi="Times New Roman" w:cs="Times New Roman"/>
        </w:rPr>
        <w:t>485</w:t>
      </w:r>
      <w:r w:rsidR="00883A19" w:rsidRPr="003049EE">
        <w:rPr>
          <w:rFonts w:ascii="Times New Roman" w:hAnsi="Times New Roman" w:cs="Times New Roman"/>
        </w:rPr>
        <w:t>.</w:t>
      </w:r>
      <w:r w:rsidR="004D065C">
        <w:rPr>
          <w:rFonts w:ascii="Times New Roman" w:hAnsi="Times New Roman" w:cs="Times New Roman"/>
        </w:rPr>
        <w:t>255</w:t>
      </w:r>
      <w:r w:rsidR="00DC4048" w:rsidRPr="003049EE">
        <w:rPr>
          <w:rFonts w:ascii="Times New Roman" w:hAnsi="Times New Roman" w:cs="Times New Roman"/>
        </w:rPr>
        <w:t xml:space="preserve"> </w:t>
      </w:r>
      <w:r w:rsidR="00E36462" w:rsidRPr="003049EE">
        <w:rPr>
          <w:rFonts w:ascii="Times New Roman" w:hAnsi="Times New Roman" w:cs="Times New Roman"/>
        </w:rPr>
        <w:t>kn</w:t>
      </w:r>
    </w:p>
    <w:p w:rsidR="003F1EAB" w:rsidRPr="003049EE" w:rsidRDefault="003F1EAB" w:rsidP="003F1EAB">
      <w:pPr>
        <w:jc w:val="both"/>
        <w:rPr>
          <w:rFonts w:ascii="Times New Roman" w:hAnsi="Times New Roman" w:cs="Times New Roman"/>
          <w:u w:val="single"/>
        </w:rPr>
      </w:pPr>
      <w:r w:rsidRPr="003049EE">
        <w:rPr>
          <w:rFonts w:ascii="Times New Roman" w:hAnsi="Times New Roman" w:cs="Times New Roman"/>
        </w:rPr>
        <w:t xml:space="preserve">        </w:t>
      </w:r>
      <w:r w:rsidRPr="003049EE">
        <w:rPr>
          <w:rFonts w:ascii="Times New Roman" w:hAnsi="Times New Roman" w:cs="Times New Roman"/>
          <w:u w:val="single"/>
        </w:rPr>
        <w:t xml:space="preserve">Izdaci za financijsku imovinu i otplate zajmova                                         </w:t>
      </w:r>
      <w:r w:rsidR="00883A19" w:rsidRPr="003049EE">
        <w:rPr>
          <w:rFonts w:ascii="Times New Roman" w:hAnsi="Times New Roman" w:cs="Times New Roman"/>
          <w:u w:val="single"/>
        </w:rPr>
        <w:t xml:space="preserve">   </w:t>
      </w:r>
      <w:r w:rsidR="007F27C1">
        <w:rPr>
          <w:rFonts w:ascii="Times New Roman" w:hAnsi="Times New Roman" w:cs="Times New Roman"/>
          <w:u w:val="single"/>
        </w:rPr>
        <w:t xml:space="preserve">    </w:t>
      </w:r>
      <w:r w:rsidR="00883A19" w:rsidRPr="003049EE">
        <w:rPr>
          <w:rFonts w:ascii="Times New Roman" w:hAnsi="Times New Roman" w:cs="Times New Roman"/>
          <w:u w:val="single"/>
        </w:rPr>
        <w:t>1.</w:t>
      </w:r>
      <w:r w:rsidR="004D065C">
        <w:rPr>
          <w:rFonts w:ascii="Times New Roman" w:hAnsi="Times New Roman" w:cs="Times New Roman"/>
          <w:u w:val="single"/>
        </w:rPr>
        <w:t>872</w:t>
      </w:r>
      <w:r w:rsidR="00883A19" w:rsidRPr="003049EE">
        <w:rPr>
          <w:rFonts w:ascii="Times New Roman" w:hAnsi="Times New Roman" w:cs="Times New Roman"/>
          <w:u w:val="single"/>
        </w:rPr>
        <w:t>.</w:t>
      </w:r>
      <w:r w:rsidR="004D065C">
        <w:rPr>
          <w:rFonts w:ascii="Times New Roman" w:hAnsi="Times New Roman" w:cs="Times New Roman"/>
          <w:u w:val="single"/>
        </w:rPr>
        <w:t>155</w:t>
      </w:r>
      <w:r w:rsidR="00DC4048" w:rsidRPr="003049EE">
        <w:rPr>
          <w:rFonts w:ascii="Times New Roman" w:hAnsi="Times New Roman" w:cs="Times New Roman"/>
          <w:u w:val="single"/>
        </w:rPr>
        <w:t xml:space="preserve"> </w:t>
      </w:r>
      <w:r w:rsidRPr="003049EE">
        <w:rPr>
          <w:rFonts w:ascii="Times New Roman" w:hAnsi="Times New Roman" w:cs="Times New Roman"/>
          <w:u w:val="single"/>
        </w:rPr>
        <w:t>kn</w:t>
      </w:r>
    </w:p>
    <w:p w:rsidR="000722C1" w:rsidRPr="003049EE" w:rsidRDefault="003F1EAB" w:rsidP="003F1EAB">
      <w:pPr>
        <w:jc w:val="both"/>
        <w:rPr>
          <w:rFonts w:ascii="Times New Roman" w:hAnsi="Times New Roman" w:cs="Times New Roman"/>
          <w:b/>
        </w:rPr>
      </w:pPr>
      <w:r w:rsidRPr="003049EE">
        <w:rPr>
          <w:rFonts w:ascii="Times New Roman" w:hAnsi="Times New Roman" w:cs="Times New Roman"/>
        </w:rPr>
        <w:t xml:space="preserve">    </w:t>
      </w:r>
      <w:r w:rsidR="000722C1" w:rsidRPr="003049EE">
        <w:rPr>
          <w:rFonts w:ascii="Times New Roman" w:hAnsi="Times New Roman" w:cs="Times New Roman"/>
        </w:rPr>
        <w:t xml:space="preserve">    </w:t>
      </w:r>
      <w:r w:rsidR="00E36462" w:rsidRPr="003049EE">
        <w:rPr>
          <w:rFonts w:ascii="Times New Roman" w:hAnsi="Times New Roman" w:cs="Times New Roman"/>
          <w:b/>
        </w:rPr>
        <w:t xml:space="preserve">Rashodi (ukupno)                                                                                  </w:t>
      </w:r>
      <w:r w:rsidRPr="003049EE">
        <w:rPr>
          <w:rFonts w:ascii="Times New Roman" w:hAnsi="Times New Roman" w:cs="Times New Roman"/>
          <w:b/>
        </w:rPr>
        <w:t xml:space="preserve">    </w:t>
      </w:r>
      <w:r w:rsidR="00E36462" w:rsidRPr="003049EE">
        <w:rPr>
          <w:rFonts w:ascii="Times New Roman" w:hAnsi="Times New Roman" w:cs="Times New Roman"/>
          <w:b/>
        </w:rPr>
        <w:t xml:space="preserve"> </w:t>
      </w:r>
      <w:r w:rsidR="00883A19" w:rsidRPr="003049EE">
        <w:rPr>
          <w:rFonts w:ascii="Times New Roman" w:hAnsi="Times New Roman" w:cs="Times New Roman"/>
          <w:b/>
        </w:rPr>
        <w:t xml:space="preserve">     6</w:t>
      </w:r>
      <w:r w:rsidR="004D065C">
        <w:rPr>
          <w:rFonts w:ascii="Times New Roman" w:hAnsi="Times New Roman" w:cs="Times New Roman"/>
          <w:b/>
        </w:rPr>
        <w:t>0</w:t>
      </w:r>
      <w:r w:rsidR="00883A19" w:rsidRPr="003049EE">
        <w:rPr>
          <w:rFonts w:ascii="Times New Roman" w:hAnsi="Times New Roman" w:cs="Times New Roman"/>
          <w:b/>
        </w:rPr>
        <w:t>.</w:t>
      </w:r>
      <w:r w:rsidR="004D065C">
        <w:rPr>
          <w:rFonts w:ascii="Times New Roman" w:hAnsi="Times New Roman" w:cs="Times New Roman"/>
          <w:b/>
        </w:rPr>
        <w:t>667</w:t>
      </w:r>
      <w:r w:rsidR="00883A19" w:rsidRPr="003049EE">
        <w:rPr>
          <w:rFonts w:ascii="Times New Roman" w:hAnsi="Times New Roman" w:cs="Times New Roman"/>
          <w:b/>
        </w:rPr>
        <w:t>.</w:t>
      </w:r>
      <w:r w:rsidR="004D065C">
        <w:rPr>
          <w:rFonts w:ascii="Times New Roman" w:hAnsi="Times New Roman" w:cs="Times New Roman"/>
          <w:b/>
        </w:rPr>
        <w:t>363</w:t>
      </w:r>
      <w:r w:rsidR="00DC4048" w:rsidRPr="003049EE">
        <w:rPr>
          <w:rFonts w:ascii="Times New Roman" w:hAnsi="Times New Roman" w:cs="Times New Roman"/>
          <w:b/>
        </w:rPr>
        <w:t xml:space="preserve"> </w:t>
      </w:r>
      <w:r w:rsidR="00E36462" w:rsidRPr="003049EE">
        <w:rPr>
          <w:rFonts w:ascii="Times New Roman" w:hAnsi="Times New Roman" w:cs="Times New Roman"/>
          <w:b/>
        </w:rPr>
        <w:t>kn</w:t>
      </w:r>
    </w:p>
    <w:p w:rsidR="004E5361" w:rsidRPr="003049EE" w:rsidRDefault="004E5361" w:rsidP="004E5361">
      <w:pPr>
        <w:jc w:val="both"/>
        <w:rPr>
          <w:rFonts w:ascii="Times New Roman" w:hAnsi="Times New Roman" w:cs="Times New Roman"/>
          <w:b/>
          <w:bCs/>
        </w:rPr>
      </w:pPr>
    </w:p>
    <w:p w:rsidR="000722C1" w:rsidRPr="003049EE" w:rsidRDefault="004D065C" w:rsidP="003F1EA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Ukupni rashodi</w:t>
      </w:r>
      <w:r w:rsidR="000722C1" w:rsidRPr="003049EE">
        <w:rPr>
          <w:rFonts w:ascii="Times New Roman" w:hAnsi="Times New Roman" w:cs="Times New Roman"/>
          <w:b/>
          <w:bCs/>
        </w:rPr>
        <w:t xml:space="preserve"> ostvareni u izvještajnom razdoblju iznose </w:t>
      </w:r>
      <w:r w:rsidR="00883A19" w:rsidRPr="003049EE">
        <w:rPr>
          <w:rFonts w:ascii="Times New Roman" w:hAnsi="Times New Roman" w:cs="Times New Roman"/>
          <w:b/>
          <w:bCs/>
          <w:i/>
        </w:rPr>
        <w:t>6</w:t>
      </w:r>
      <w:r>
        <w:rPr>
          <w:rFonts w:ascii="Times New Roman" w:hAnsi="Times New Roman" w:cs="Times New Roman"/>
          <w:b/>
          <w:bCs/>
          <w:i/>
        </w:rPr>
        <w:t>0</w:t>
      </w:r>
      <w:r w:rsidR="00883A19" w:rsidRPr="003049EE">
        <w:rPr>
          <w:rFonts w:ascii="Times New Roman" w:hAnsi="Times New Roman" w:cs="Times New Roman"/>
          <w:b/>
          <w:bCs/>
          <w:i/>
        </w:rPr>
        <w:t>.</w:t>
      </w:r>
      <w:r>
        <w:rPr>
          <w:rFonts w:ascii="Times New Roman" w:hAnsi="Times New Roman" w:cs="Times New Roman"/>
          <w:b/>
          <w:bCs/>
          <w:i/>
        </w:rPr>
        <w:t>667</w:t>
      </w:r>
      <w:r w:rsidR="00883A19" w:rsidRPr="003049EE">
        <w:rPr>
          <w:rFonts w:ascii="Times New Roman" w:hAnsi="Times New Roman" w:cs="Times New Roman"/>
          <w:b/>
          <w:bCs/>
          <w:i/>
        </w:rPr>
        <w:t>.</w:t>
      </w:r>
      <w:r>
        <w:rPr>
          <w:rFonts w:ascii="Times New Roman" w:hAnsi="Times New Roman" w:cs="Times New Roman"/>
          <w:b/>
          <w:bCs/>
          <w:i/>
        </w:rPr>
        <w:t>363</w:t>
      </w:r>
      <w:r w:rsidR="005E7363" w:rsidRPr="003049EE">
        <w:rPr>
          <w:rFonts w:ascii="Times New Roman" w:hAnsi="Times New Roman" w:cs="Times New Roman"/>
          <w:b/>
          <w:bCs/>
          <w:i/>
        </w:rPr>
        <w:t xml:space="preserve"> </w:t>
      </w:r>
      <w:r w:rsidR="003F1EAB" w:rsidRPr="003049EE">
        <w:rPr>
          <w:rFonts w:ascii="Times New Roman" w:hAnsi="Times New Roman" w:cs="Times New Roman"/>
          <w:b/>
          <w:bCs/>
          <w:i/>
        </w:rPr>
        <w:t>kun</w:t>
      </w:r>
      <w:r>
        <w:rPr>
          <w:rFonts w:ascii="Times New Roman" w:hAnsi="Times New Roman" w:cs="Times New Roman"/>
          <w:b/>
          <w:bCs/>
          <w:i/>
        </w:rPr>
        <w:t>e</w:t>
      </w:r>
      <w:r w:rsidR="003F1EAB" w:rsidRPr="003049EE">
        <w:rPr>
          <w:rFonts w:ascii="Times New Roman" w:hAnsi="Times New Roman" w:cs="Times New Roman"/>
          <w:b/>
          <w:bCs/>
          <w:i/>
        </w:rPr>
        <w:t xml:space="preserve"> </w:t>
      </w:r>
      <w:r w:rsidR="00D52426">
        <w:rPr>
          <w:rFonts w:ascii="Times New Roman" w:hAnsi="Times New Roman" w:cs="Times New Roman"/>
          <w:b/>
          <w:bCs/>
        </w:rPr>
        <w:t>–</w:t>
      </w:r>
      <w:r w:rsidR="000722C1" w:rsidRPr="003049E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97</w:t>
      </w:r>
      <w:r w:rsidR="00D52426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>77</w:t>
      </w:r>
      <w:r w:rsidR="005E7363" w:rsidRPr="003049EE">
        <w:rPr>
          <w:rFonts w:ascii="Times New Roman" w:hAnsi="Times New Roman" w:cs="Times New Roman"/>
          <w:b/>
          <w:bCs/>
        </w:rPr>
        <w:t xml:space="preserve"> </w:t>
      </w:r>
      <w:r w:rsidR="000722C1" w:rsidRPr="003049EE">
        <w:rPr>
          <w:rFonts w:ascii="Times New Roman" w:hAnsi="Times New Roman" w:cs="Times New Roman"/>
          <w:b/>
          <w:bCs/>
        </w:rPr>
        <w:t xml:space="preserve">% od plana koji iznosi </w:t>
      </w:r>
      <w:r w:rsidR="00883A19" w:rsidRPr="003049EE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2</w:t>
      </w:r>
      <w:r w:rsidR="00883A19" w:rsidRPr="003049E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053</w:t>
      </w:r>
      <w:r w:rsidR="00883A19" w:rsidRPr="003049E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994</w:t>
      </w:r>
      <w:r w:rsidR="005E7363" w:rsidRPr="003049EE">
        <w:rPr>
          <w:rFonts w:ascii="Times New Roman" w:hAnsi="Times New Roman" w:cs="Times New Roman"/>
          <w:b/>
          <w:bCs/>
        </w:rPr>
        <w:t xml:space="preserve"> </w:t>
      </w:r>
      <w:r w:rsidR="000722C1" w:rsidRPr="003049EE">
        <w:rPr>
          <w:rFonts w:ascii="Times New Roman" w:hAnsi="Times New Roman" w:cs="Times New Roman"/>
          <w:b/>
          <w:bCs/>
        </w:rPr>
        <w:t>kuna po grupama:</w:t>
      </w:r>
    </w:p>
    <w:p w:rsidR="007F27C1" w:rsidRPr="007F27C1" w:rsidRDefault="000722C1" w:rsidP="004E5361">
      <w:pPr>
        <w:pStyle w:val="Bezproreda"/>
        <w:jc w:val="both"/>
        <w:rPr>
          <w:rFonts w:ascii="Times New Roman" w:hAnsi="Times New Roman" w:cs="Times New Roman"/>
          <w:b/>
        </w:rPr>
      </w:pPr>
      <w:r w:rsidRPr="007F27C1">
        <w:rPr>
          <w:rFonts w:ascii="Times New Roman" w:hAnsi="Times New Roman" w:cs="Times New Roman"/>
          <w:b/>
        </w:rPr>
        <w:t>31 Rashodi za zaposlene</w:t>
      </w:r>
    </w:p>
    <w:p w:rsidR="00E36462" w:rsidRPr="003049EE" w:rsidRDefault="000722C1" w:rsidP="004E5361">
      <w:pPr>
        <w:pStyle w:val="Bezproreda"/>
        <w:jc w:val="both"/>
        <w:rPr>
          <w:rFonts w:ascii="Times New Roman" w:hAnsi="Times New Roman" w:cs="Times New Roman"/>
        </w:rPr>
      </w:pPr>
      <w:r w:rsidRPr="003049EE">
        <w:rPr>
          <w:rFonts w:ascii="Times New Roman" w:hAnsi="Times New Roman" w:cs="Times New Roman"/>
        </w:rPr>
        <w:t xml:space="preserve"> </w:t>
      </w:r>
    </w:p>
    <w:p w:rsidR="00850C59" w:rsidRPr="003049EE" w:rsidRDefault="000722C1" w:rsidP="003F1EAB">
      <w:pPr>
        <w:rPr>
          <w:rFonts w:ascii="Times New Roman" w:hAnsi="Times New Roman" w:cs="Times New Roman"/>
        </w:rPr>
      </w:pPr>
      <w:r w:rsidRPr="003049EE">
        <w:rPr>
          <w:rFonts w:ascii="Times New Roman" w:hAnsi="Times New Roman" w:cs="Times New Roman"/>
        </w:rPr>
        <w:t xml:space="preserve">Rashodi za zaposlene iznose </w:t>
      </w:r>
      <w:r w:rsidR="00D414D7">
        <w:rPr>
          <w:rFonts w:ascii="Times New Roman" w:hAnsi="Times New Roman" w:cs="Times New Roman"/>
        </w:rPr>
        <w:t>41</w:t>
      </w:r>
      <w:r w:rsidR="00883A19" w:rsidRPr="003049EE">
        <w:rPr>
          <w:rFonts w:ascii="Times New Roman" w:hAnsi="Times New Roman" w:cs="Times New Roman"/>
        </w:rPr>
        <w:t>.</w:t>
      </w:r>
      <w:r w:rsidR="00D414D7">
        <w:rPr>
          <w:rFonts w:ascii="Times New Roman" w:hAnsi="Times New Roman" w:cs="Times New Roman"/>
        </w:rPr>
        <w:t>635</w:t>
      </w:r>
      <w:r w:rsidR="00883A19" w:rsidRPr="003049EE">
        <w:rPr>
          <w:rFonts w:ascii="Times New Roman" w:hAnsi="Times New Roman" w:cs="Times New Roman"/>
        </w:rPr>
        <w:t>.</w:t>
      </w:r>
      <w:r w:rsidR="00D414D7">
        <w:rPr>
          <w:rFonts w:ascii="Times New Roman" w:hAnsi="Times New Roman" w:cs="Times New Roman"/>
        </w:rPr>
        <w:t>697</w:t>
      </w:r>
      <w:r w:rsidR="00B84E78" w:rsidRPr="003049EE">
        <w:rPr>
          <w:rFonts w:ascii="Times New Roman" w:hAnsi="Times New Roman" w:cs="Times New Roman"/>
        </w:rPr>
        <w:t xml:space="preserve"> </w:t>
      </w:r>
      <w:r w:rsidR="00883A19" w:rsidRPr="003049EE">
        <w:rPr>
          <w:rFonts w:ascii="Times New Roman" w:hAnsi="Times New Roman" w:cs="Times New Roman"/>
        </w:rPr>
        <w:t xml:space="preserve">kn </w:t>
      </w:r>
      <w:r w:rsidR="00D414D7">
        <w:rPr>
          <w:rFonts w:ascii="Times New Roman" w:hAnsi="Times New Roman" w:cs="Times New Roman"/>
        </w:rPr>
        <w:t>98</w:t>
      </w:r>
      <w:r w:rsidR="00D52426">
        <w:rPr>
          <w:rFonts w:ascii="Times New Roman" w:hAnsi="Times New Roman" w:cs="Times New Roman"/>
        </w:rPr>
        <w:t>,</w:t>
      </w:r>
      <w:r w:rsidR="00D414D7">
        <w:rPr>
          <w:rFonts w:ascii="Times New Roman" w:hAnsi="Times New Roman" w:cs="Times New Roman"/>
        </w:rPr>
        <w:t>5</w:t>
      </w:r>
      <w:r w:rsidR="00D52426">
        <w:rPr>
          <w:rFonts w:ascii="Times New Roman" w:hAnsi="Times New Roman" w:cs="Times New Roman"/>
        </w:rPr>
        <w:t>5</w:t>
      </w:r>
      <w:r w:rsidR="00883A19" w:rsidRPr="003049EE">
        <w:rPr>
          <w:rFonts w:ascii="Times New Roman" w:hAnsi="Times New Roman" w:cs="Times New Roman"/>
        </w:rPr>
        <w:t xml:space="preserve"> </w:t>
      </w:r>
      <w:r w:rsidRPr="003049EE">
        <w:rPr>
          <w:rFonts w:ascii="Times New Roman" w:hAnsi="Times New Roman" w:cs="Times New Roman"/>
        </w:rPr>
        <w:t xml:space="preserve">% u odnosu na planiranih </w:t>
      </w:r>
      <w:r w:rsidR="00D414D7">
        <w:rPr>
          <w:rFonts w:ascii="Times New Roman" w:hAnsi="Times New Roman" w:cs="Times New Roman"/>
        </w:rPr>
        <w:t>42</w:t>
      </w:r>
      <w:r w:rsidR="00883A19" w:rsidRPr="003049EE">
        <w:rPr>
          <w:rFonts w:ascii="Times New Roman" w:hAnsi="Times New Roman" w:cs="Times New Roman"/>
        </w:rPr>
        <w:t>.</w:t>
      </w:r>
      <w:r w:rsidR="00D414D7">
        <w:rPr>
          <w:rFonts w:ascii="Times New Roman" w:hAnsi="Times New Roman" w:cs="Times New Roman"/>
        </w:rPr>
        <w:t>249</w:t>
      </w:r>
      <w:r w:rsidR="00883A19" w:rsidRPr="003049EE">
        <w:rPr>
          <w:rFonts w:ascii="Times New Roman" w:hAnsi="Times New Roman" w:cs="Times New Roman"/>
        </w:rPr>
        <w:t>.</w:t>
      </w:r>
      <w:r w:rsidR="00D414D7">
        <w:rPr>
          <w:rFonts w:ascii="Times New Roman" w:hAnsi="Times New Roman" w:cs="Times New Roman"/>
        </w:rPr>
        <w:t>009</w:t>
      </w:r>
      <w:r w:rsidR="00B84E78" w:rsidRPr="003049EE">
        <w:rPr>
          <w:rFonts w:ascii="Times New Roman" w:hAnsi="Times New Roman" w:cs="Times New Roman"/>
        </w:rPr>
        <w:t xml:space="preserve"> </w:t>
      </w:r>
      <w:r w:rsidRPr="003049EE">
        <w:rPr>
          <w:rFonts w:ascii="Times New Roman" w:hAnsi="Times New Roman" w:cs="Times New Roman"/>
        </w:rPr>
        <w:t>k</w:t>
      </w:r>
      <w:r w:rsidR="00D414D7">
        <w:rPr>
          <w:rFonts w:ascii="Times New Roman" w:hAnsi="Times New Roman" w:cs="Times New Roman"/>
        </w:rPr>
        <w:t>n</w:t>
      </w:r>
      <w:r w:rsidRPr="003049EE">
        <w:rPr>
          <w:rFonts w:ascii="Times New Roman" w:hAnsi="Times New Roman" w:cs="Times New Roman"/>
        </w:rPr>
        <w:t xml:space="preserve">. </w:t>
      </w:r>
    </w:p>
    <w:p w:rsidR="003F1EAB" w:rsidRPr="003049EE" w:rsidRDefault="004B28F1" w:rsidP="003D099D">
      <w:pPr>
        <w:rPr>
          <w:rFonts w:ascii="Times New Roman" w:hAnsi="Times New Roman" w:cs="Times New Roman"/>
        </w:rPr>
      </w:pPr>
      <w:r w:rsidRPr="003049EE">
        <w:rPr>
          <w:rFonts w:ascii="Times New Roman" w:hAnsi="Times New Roman" w:cs="Times New Roman"/>
        </w:rPr>
        <w:t xml:space="preserve">U </w:t>
      </w:r>
      <w:r w:rsidR="003F1EAB" w:rsidRPr="003049EE">
        <w:rPr>
          <w:rFonts w:ascii="Times New Roman" w:hAnsi="Times New Roman" w:cs="Times New Roman"/>
        </w:rPr>
        <w:t>20</w:t>
      </w:r>
      <w:r w:rsidR="00B84E78" w:rsidRPr="003049EE">
        <w:rPr>
          <w:rFonts w:ascii="Times New Roman" w:hAnsi="Times New Roman" w:cs="Times New Roman"/>
        </w:rPr>
        <w:t>2</w:t>
      </w:r>
      <w:r w:rsidR="00D414D7">
        <w:rPr>
          <w:rFonts w:ascii="Times New Roman" w:hAnsi="Times New Roman" w:cs="Times New Roman"/>
        </w:rPr>
        <w:t>2</w:t>
      </w:r>
      <w:r w:rsidR="00B84E78" w:rsidRPr="003049EE">
        <w:rPr>
          <w:rFonts w:ascii="Times New Roman" w:hAnsi="Times New Roman" w:cs="Times New Roman"/>
        </w:rPr>
        <w:t>.</w:t>
      </w:r>
      <w:r w:rsidR="003F1EAB" w:rsidRPr="003049EE">
        <w:rPr>
          <w:rFonts w:ascii="Times New Roman" w:hAnsi="Times New Roman" w:cs="Times New Roman"/>
        </w:rPr>
        <w:t xml:space="preserve"> godini u </w:t>
      </w:r>
      <w:r w:rsidRPr="003049EE">
        <w:rPr>
          <w:rFonts w:ascii="Times New Roman" w:hAnsi="Times New Roman" w:cs="Times New Roman"/>
        </w:rPr>
        <w:t>odnosu na</w:t>
      </w:r>
      <w:r w:rsidR="003F1EAB" w:rsidRPr="003049EE">
        <w:rPr>
          <w:rFonts w:ascii="Times New Roman" w:hAnsi="Times New Roman" w:cs="Times New Roman"/>
        </w:rPr>
        <w:t xml:space="preserve"> 20</w:t>
      </w:r>
      <w:r w:rsidR="00883A19" w:rsidRPr="003049EE">
        <w:rPr>
          <w:rFonts w:ascii="Times New Roman" w:hAnsi="Times New Roman" w:cs="Times New Roman"/>
        </w:rPr>
        <w:t>2</w:t>
      </w:r>
      <w:r w:rsidR="00D414D7">
        <w:rPr>
          <w:rFonts w:ascii="Times New Roman" w:hAnsi="Times New Roman" w:cs="Times New Roman"/>
        </w:rPr>
        <w:t>1</w:t>
      </w:r>
      <w:r w:rsidR="003F1EAB" w:rsidRPr="003049EE">
        <w:rPr>
          <w:rFonts w:ascii="Times New Roman" w:hAnsi="Times New Roman" w:cs="Times New Roman"/>
        </w:rPr>
        <w:t>.</w:t>
      </w:r>
      <w:r w:rsidR="00B84E78" w:rsidRPr="003049EE">
        <w:rPr>
          <w:rFonts w:ascii="Times New Roman" w:hAnsi="Times New Roman" w:cs="Times New Roman"/>
        </w:rPr>
        <w:t xml:space="preserve"> </w:t>
      </w:r>
      <w:r w:rsidR="003F1EAB" w:rsidRPr="003049EE">
        <w:rPr>
          <w:rFonts w:ascii="Times New Roman" w:hAnsi="Times New Roman" w:cs="Times New Roman"/>
        </w:rPr>
        <w:t>godinu</w:t>
      </w:r>
      <w:r w:rsidRPr="003049EE">
        <w:rPr>
          <w:rFonts w:ascii="Times New Roman" w:hAnsi="Times New Roman" w:cs="Times New Roman"/>
        </w:rPr>
        <w:t xml:space="preserve"> ukupno povećanje rashoda za zaposlene je </w:t>
      </w:r>
      <w:r w:rsidR="00883A19" w:rsidRPr="003049EE">
        <w:rPr>
          <w:rFonts w:ascii="Times New Roman" w:hAnsi="Times New Roman" w:cs="Times New Roman"/>
        </w:rPr>
        <w:t xml:space="preserve"> 4</w:t>
      </w:r>
      <w:r w:rsidR="00D414D7">
        <w:rPr>
          <w:rFonts w:ascii="Times New Roman" w:hAnsi="Times New Roman" w:cs="Times New Roman"/>
        </w:rPr>
        <w:t>,54</w:t>
      </w:r>
      <w:r w:rsidR="00883A19" w:rsidRPr="003049EE">
        <w:rPr>
          <w:rFonts w:ascii="Times New Roman" w:hAnsi="Times New Roman" w:cs="Times New Roman"/>
        </w:rPr>
        <w:t xml:space="preserve"> </w:t>
      </w:r>
      <w:r w:rsidRPr="003049EE">
        <w:rPr>
          <w:rFonts w:ascii="Times New Roman" w:hAnsi="Times New Roman" w:cs="Times New Roman"/>
        </w:rPr>
        <w:t xml:space="preserve">%, što se uglavnom odnosi na povećanje osnovice plaće.  Broj zaposlenika u promatranom razdoblju nam je ostao na istoj razini. Ali, na neke stavke u rashodima za zaposlene ne možemo utjecati, s obzirom da je sve definirano temeljnim kolektivnim ugovorom. </w:t>
      </w:r>
    </w:p>
    <w:p w:rsidR="00B84E78" w:rsidRPr="00883A19" w:rsidRDefault="00B84E78" w:rsidP="00B84E78">
      <w:pPr>
        <w:jc w:val="both"/>
        <w:rPr>
          <w:rFonts w:ascii="Times New Roman" w:hAnsi="Times New Roman" w:cs="Times New Roman"/>
        </w:rPr>
      </w:pPr>
      <w:r w:rsidRPr="003049EE">
        <w:rPr>
          <w:rFonts w:ascii="Times New Roman" w:hAnsi="Times New Roman" w:cs="Times New Roman"/>
        </w:rPr>
        <w:t>Do povećanja rashoda za zaposlene prvenstveno dolazi potpisom Temeljno</w:t>
      </w:r>
      <w:r w:rsidR="00D414D7">
        <w:rPr>
          <w:rFonts w:ascii="Times New Roman" w:hAnsi="Times New Roman" w:cs="Times New Roman"/>
        </w:rPr>
        <w:t>g</w:t>
      </w:r>
      <w:r w:rsidRPr="003049EE">
        <w:rPr>
          <w:rFonts w:ascii="Times New Roman" w:hAnsi="Times New Roman" w:cs="Times New Roman"/>
        </w:rPr>
        <w:t xml:space="preserve"> kolektivno</w:t>
      </w:r>
      <w:r w:rsidR="00D414D7">
        <w:rPr>
          <w:rFonts w:ascii="Times New Roman" w:hAnsi="Times New Roman" w:cs="Times New Roman"/>
        </w:rPr>
        <w:t>g</w:t>
      </w:r>
      <w:r w:rsidRPr="003049EE">
        <w:rPr>
          <w:rFonts w:ascii="Times New Roman" w:hAnsi="Times New Roman" w:cs="Times New Roman"/>
        </w:rPr>
        <w:t xml:space="preserve"> ugovor</w:t>
      </w:r>
      <w:r w:rsidR="00D414D7">
        <w:rPr>
          <w:rFonts w:ascii="Times New Roman" w:hAnsi="Times New Roman" w:cs="Times New Roman"/>
        </w:rPr>
        <w:t>a</w:t>
      </w:r>
      <w:r w:rsidRPr="003049EE">
        <w:rPr>
          <w:rFonts w:ascii="Times New Roman" w:hAnsi="Times New Roman" w:cs="Times New Roman"/>
        </w:rPr>
        <w:t xml:space="preserve"> za službenike i namještenike u javnim službama (»Narodne novine«, br. </w:t>
      </w:r>
      <w:r w:rsidR="00D414D7">
        <w:rPr>
          <w:rFonts w:ascii="Times New Roman" w:hAnsi="Times New Roman" w:cs="Times New Roman"/>
        </w:rPr>
        <w:t>55</w:t>
      </w:r>
      <w:r w:rsidRPr="003049EE">
        <w:rPr>
          <w:rFonts w:ascii="Times New Roman" w:hAnsi="Times New Roman" w:cs="Times New Roman"/>
        </w:rPr>
        <w:t>/</w:t>
      </w:r>
      <w:r w:rsidR="00D414D7">
        <w:rPr>
          <w:rFonts w:ascii="Times New Roman" w:hAnsi="Times New Roman" w:cs="Times New Roman"/>
        </w:rPr>
        <w:t>22</w:t>
      </w:r>
      <w:r w:rsidRPr="003049EE">
        <w:rPr>
          <w:rFonts w:ascii="Times New Roman" w:hAnsi="Times New Roman" w:cs="Times New Roman"/>
        </w:rPr>
        <w:t xml:space="preserve">) od </w:t>
      </w:r>
      <w:r w:rsidR="00D414D7">
        <w:rPr>
          <w:rFonts w:ascii="Times New Roman" w:hAnsi="Times New Roman" w:cs="Times New Roman"/>
        </w:rPr>
        <w:t>6</w:t>
      </w:r>
      <w:r w:rsidRPr="003049EE">
        <w:rPr>
          <w:rFonts w:ascii="Times New Roman" w:hAnsi="Times New Roman" w:cs="Times New Roman"/>
        </w:rPr>
        <w:t xml:space="preserve">. </w:t>
      </w:r>
      <w:r w:rsidR="00D414D7">
        <w:rPr>
          <w:rFonts w:ascii="Times New Roman" w:hAnsi="Times New Roman" w:cs="Times New Roman"/>
        </w:rPr>
        <w:t>svibnja</w:t>
      </w:r>
      <w:r w:rsidRPr="003049EE">
        <w:rPr>
          <w:rFonts w:ascii="Times New Roman" w:hAnsi="Times New Roman" w:cs="Times New Roman"/>
        </w:rPr>
        <w:t xml:space="preserve"> 20</w:t>
      </w:r>
      <w:r w:rsidR="00D414D7">
        <w:rPr>
          <w:rFonts w:ascii="Times New Roman" w:hAnsi="Times New Roman" w:cs="Times New Roman"/>
        </w:rPr>
        <w:t>22</w:t>
      </w:r>
      <w:r w:rsidRPr="003049EE">
        <w:rPr>
          <w:rFonts w:ascii="Times New Roman" w:hAnsi="Times New Roman" w:cs="Times New Roman"/>
        </w:rPr>
        <w:t>. godine, gdje ugovorne strane suglasno utvrđuju visinu osnovice za izračun plaće službenika i namještenika u javnim službama za 202</w:t>
      </w:r>
      <w:r w:rsidR="00D414D7">
        <w:rPr>
          <w:rFonts w:ascii="Times New Roman" w:hAnsi="Times New Roman" w:cs="Times New Roman"/>
        </w:rPr>
        <w:t>2</w:t>
      </w:r>
      <w:r w:rsidRPr="003049EE">
        <w:rPr>
          <w:rFonts w:ascii="Times New Roman" w:hAnsi="Times New Roman" w:cs="Times New Roman"/>
        </w:rPr>
        <w:t>. godinu i visinu materijalnih prava službenika i namještenika u javnim službama za 202</w:t>
      </w:r>
      <w:r w:rsidR="00D414D7">
        <w:rPr>
          <w:rFonts w:ascii="Times New Roman" w:hAnsi="Times New Roman" w:cs="Times New Roman"/>
        </w:rPr>
        <w:t>2</w:t>
      </w:r>
      <w:r w:rsidRPr="003049EE">
        <w:rPr>
          <w:rFonts w:ascii="Times New Roman" w:hAnsi="Times New Roman" w:cs="Times New Roman"/>
        </w:rPr>
        <w:t xml:space="preserve">. </w:t>
      </w:r>
      <w:r w:rsidRPr="003049EE">
        <w:rPr>
          <w:rFonts w:ascii="Times New Roman" w:hAnsi="Times New Roman" w:cs="Times New Roman"/>
        </w:rPr>
        <w:lastRenderedPageBreak/>
        <w:t>godinu</w:t>
      </w:r>
      <w:r w:rsidR="00D414D7">
        <w:rPr>
          <w:rFonts w:ascii="Times New Roman" w:hAnsi="Times New Roman" w:cs="Times New Roman"/>
        </w:rPr>
        <w:t xml:space="preserve">. Kolektivnim ugovorom dogovoreno je povećanje osnovice za plaću u dva navrata u 2022. godini, za 4% u lipnju i za 6% u listopadu. </w:t>
      </w:r>
      <w:r w:rsidR="002E50D6">
        <w:rPr>
          <w:rFonts w:ascii="Times New Roman" w:hAnsi="Times New Roman" w:cs="Times New Roman"/>
        </w:rPr>
        <w:t>Dodatkom I Temeljnom kolektivnom ugovoru za službenike i namještenike u javnim službama dogovoreno je</w:t>
      </w:r>
      <w:r w:rsidRPr="003049EE">
        <w:rPr>
          <w:rFonts w:ascii="Times New Roman" w:hAnsi="Times New Roman" w:cs="Times New Roman"/>
        </w:rPr>
        <w:t xml:space="preserve"> </w:t>
      </w:r>
      <w:r w:rsidR="00D414D7">
        <w:rPr>
          <w:rFonts w:ascii="Times New Roman" w:hAnsi="Times New Roman" w:cs="Times New Roman"/>
        </w:rPr>
        <w:t>povećanje</w:t>
      </w:r>
      <w:r w:rsidRPr="003049EE">
        <w:rPr>
          <w:rFonts w:ascii="Times New Roman" w:hAnsi="Times New Roman" w:cs="Times New Roman"/>
        </w:rPr>
        <w:t xml:space="preserve"> regres</w:t>
      </w:r>
      <w:r w:rsidR="002E50D6">
        <w:rPr>
          <w:rFonts w:ascii="Times New Roman" w:hAnsi="Times New Roman" w:cs="Times New Roman"/>
        </w:rPr>
        <w:t xml:space="preserve"> na 1.750,00 kn </w:t>
      </w:r>
      <w:r w:rsidRPr="003049EE">
        <w:rPr>
          <w:rFonts w:ascii="Times New Roman" w:hAnsi="Times New Roman" w:cs="Times New Roman"/>
        </w:rPr>
        <w:t>i dar</w:t>
      </w:r>
      <w:r w:rsidR="002E50D6">
        <w:rPr>
          <w:rFonts w:ascii="Times New Roman" w:hAnsi="Times New Roman" w:cs="Times New Roman"/>
        </w:rPr>
        <w:t>a</w:t>
      </w:r>
      <w:r w:rsidRPr="003049EE">
        <w:rPr>
          <w:rFonts w:ascii="Times New Roman" w:hAnsi="Times New Roman" w:cs="Times New Roman"/>
        </w:rPr>
        <w:t xml:space="preserve"> u prigodi dana Sv. Nikole za 2020. godinu iznositi </w:t>
      </w:r>
      <w:r w:rsidR="002E50D6">
        <w:rPr>
          <w:rFonts w:ascii="Times New Roman" w:hAnsi="Times New Roman" w:cs="Times New Roman"/>
        </w:rPr>
        <w:t>na 753</w:t>
      </w:r>
      <w:r w:rsidRPr="003049EE">
        <w:rPr>
          <w:rFonts w:ascii="Times New Roman" w:hAnsi="Times New Roman" w:cs="Times New Roman"/>
        </w:rPr>
        <w:t>,</w:t>
      </w:r>
      <w:r w:rsidR="002E50D6">
        <w:rPr>
          <w:rFonts w:ascii="Times New Roman" w:hAnsi="Times New Roman" w:cs="Times New Roman"/>
        </w:rPr>
        <w:t>45</w:t>
      </w:r>
      <w:r w:rsidRPr="003049EE">
        <w:rPr>
          <w:rFonts w:ascii="Times New Roman" w:hAnsi="Times New Roman" w:cs="Times New Roman"/>
        </w:rPr>
        <w:t xml:space="preserve"> kn. </w:t>
      </w:r>
    </w:p>
    <w:p w:rsidR="00883A19" w:rsidRDefault="00883A19" w:rsidP="00F11BAE">
      <w:pPr>
        <w:pStyle w:val="Bezproreda"/>
        <w:jc w:val="both"/>
        <w:rPr>
          <w:highlight w:val="lightGray"/>
        </w:rPr>
      </w:pPr>
    </w:p>
    <w:p w:rsidR="00807B8F" w:rsidRDefault="004B28F1" w:rsidP="00F11BAE">
      <w:pPr>
        <w:pStyle w:val="Bezproreda"/>
        <w:jc w:val="both"/>
        <w:rPr>
          <w:rFonts w:ascii="Times New Roman" w:hAnsi="Times New Roman" w:cs="Times New Roman"/>
          <w:b/>
        </w:rPr>
      </w:pPr>
      <w:r w:rsidRPr="00D96B30">
        <w:rPr>
          <w:rFonts w:ascii="Times New Roman" w:hAnsi="Times New Roman" w:cs="Times New Roman"/>
          <w:b/>
        </w:rPr>
        <w:t>32 Materijalni rashodi</w:t>
      </w:r>
    </w:p>
    <w:p w:rsidR="00D96B30" w:rsidRPr="00D96B30" w:rsidRDefault="00D96B30" w:rsidP="00F11BAE">
      <w:pPr>
        <w:pStyle w:val="Bezproreda"/>
        <w:jc w:val="both"/>
        <w:rPr>
          <w:rFonts w:ascii="Times New Roman" w:hAnsi="Times New Roman" w:cs="Times New Roman"/>
          <w:b/>
        </w:rPr>
      </w:pPr>
    </w:p>
    <w:p w:rsidR="00807B8F" w:rsidRPr="00F806F4" w:rsidRDefault="00883A19" w:rsidP="007774E8">
      <w:pPr>
        <w:pStyle w:val="Bezproreda"/>
        <w:jc w:val="both"/>
        <w:rPr>
          <w:rFonts w:ascii="Times New Roman" w:hAnsi="Times New Roman" w:cs="Times New Roman"/>
        </w:rPr>
      </w:pPr>
      <w:r w:rsidRPr="00F806F4">
        <w:rPr>
          <w:rFonts w:ascii="Times New Roman" w:hAnsi="Times New Roman" w:cs="Times New Roman"/>
        </w:rPr>
        <w:t>Ukupni materijalni rashodi iznose 1</w:t>
      </w:r>
      <w:r w:rsidR="002E50D6">
        <w:rPr>
          <w:rFonts w:ascii="Times New Roman" w:hAnsi="Times New Roman" w:cs="Times New Roman"/>
        </w:rPr>
        <w:t>5</w:t>
      </w:r>
      <w:r w:rsidRPr="00F806F4">
        <w:rPr>
          <w:rFonts w:ascii="Times New Roman" w:hAnsi="Times New Roman" w:cs="Times New Roman"/>
        </w:rPr>
        <w:t>.</w:t>
      </w:r>
      <w:r w:rsidR="002E50D6">
        <w:rPr>
          <w:rFonts w:ascii="Times New Roman" w:hAnsi="Times New Roman" w:cs="Times New Roman"/>
        </w:rPr>
        <w:t>349</w:t>
      </w:r>
      <w:r w:rsidRPr="00F806F4">
        <w:rPr>
          <w:rFonts w:ascii="Times New Roman" w:hAnsi="Times New Roman" w:cs="Times New Roman"/>
        </w:rPr>
        <w:t>.</w:t>
      </w:r>
      <w:r w:rsidR="002E50D6">
        <w:rPr>
          <w:rFonts w:ascii="Times New Roman" w:hAnsi="Times New Roman" w:cs="Times New Roman"/>
        </w:rPr>
        <w:t>180</w:t>
      </w:r>
      <w:r w:rsidRPr="00F806F4">
        <w:rPr>
          <w:rFonts w:ascii="Times New Roman" w:hAnsi="Times New Roman" w:cs="Times New Roman"/>
        </w:rPr>
        <w:t xml:space="preserve"> kn i </w:t>
      </w:r>
      <w:r w:rsidR="002E50D6">
        <w:rPr>
          <w:rFonts w:ascii="Times New Roman" w:hAnsi="Times New Roman" w:cs="Times New Roman"/>
        </w:rPr>
        <w:t>iznose 95,80% planiranih</w:t>
      </w:r>
      <w:r w:rsidRPr="00F806F4">
        <w:rPr>
          <w:rFonts w:ascii="Times New Roman" w:hAnsi="Times New Roman" w:cs="Times New Roman"/>
        </w:rPr>
        <w:t xml:space="preserve">, ali su istovremeno </w:t>
      </w:r>
      <w:r w:rsidR="002E50D6">
        <w:rPr>
          <w:rFonts w:ascii="Times New Roman" w:hAnsi="Times New Roman" w:cs="Times New Roman"/>
        </w:rPr>
        <w:t>veći</w:t>
      </w:r>
      <w:r w:rsidRPr="00F806F4">
        <w:rPr>
          <w:rFonts w:ascii="Times New Roman" w:hAnsi="Times New Roman" w:cs="Times New Roman"/>
        </w:rPr>
        <w:t xml:space="preserve"> </w:t>
      </w:r>
      <w:r w:rsidR="002E50D6">
        <w:rPr>
          <w:rFonts w:ascii="Times New Roman" w:hAnsi="Times New Roman" w:cs="Times New Roman"/>
        </w:rPr>
        <w:t xml:space="preserve">u odnosu na prethodnu godinu </w:t>
      </w:r>
      <w:r w:rsidRPr="00F806F4">
        <w:rPr>
          <w:rFonts w:ascii="Times New Roman" w:hAnsi="Times New Roman" w:cs="Times New Roman"/>
        </w:rPr>
        <w:t xml:space="preserve">za </w:t>
      </w:r>
      <w:r w:rsidR="002E50D6">
        <w:rPr>
          <w:rFonts w:ascii="Times New Roman" w:hAnsi="Times New Roman" w:cs="Times New Roman"/>
        </w:rPr>
        <w:t>10</w:t>
      </w:r>
      <w:r w:rsidR="00D52426">
        <w:rPr>
          <w:rFonts w:ascii="Times New Roman" w:hAnsi="Times New Roman" w:cs="Times New Roman"/>
        </w:rPr>
        <w:t>,</w:t>
      </w:r>
      <w:r w:rsidR="002E50D6">
        <w:rPr>
          <w:rFonts w:ascii="Times New Roman" w:hAnsi="Times New Roman" w:cs="Times New Roman"/>
        </w:rPr>
        <w:t>92</w:t>
      </w:r>
      <w:r w:rsidRPr="00F806F4">
        <w:rPr>
          <w:rFonts w:ascii="Times New Roman" w:hAnsi="Times New Roman" w:cs="Times New Roman"/>
        </w:rPr>
        <w:t xml:space="preserve">% </w:t>
      </w:r>
      <w:r w:rsidR="002E50D6">
        <w:rPr>
          <w:rFonts w:ascii="Times New Roman" w:hAnsi="Times New Roman" w:cs="Times New Roman"/>
        </w:rPr>
        <w:t>(13.838.437 kn).</w:t>
      </w:r>
    </w:p>
    <w:p w:rsidR="00807B8F" w:rsidRPr="00F806F4" w:rsidRDefault="00807B8F" w:rsidP="004E5361">
      <w:pPr>
        <w:pStyle w:val="Bezproreda"/>
        <w:jc w:val="both"/>
        <w:rPr>
          <w:rFonts w:ascii="Times New Roman" w:hAnsi="Times New Roman" w:cs="Times New Roman"/>
        </w:rPr>
      </w:pPr>
    </w:p>
    <w:p w:rsidR="00883A19" w:rsidRDefault="002E50D6" w:rsidP="004E536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 materijalnih troškova u odnosu na prethodno razdoblje je očekivano s obzirom na povećanje cijena roba i usluga</w:t>
      </w:r>
      <w:r w:rsidR="00883A19" w:rsidRPr="00F806F4">
        <w:rPr>
          <w:rFonts w:ascii="Times New Roman" w:hAnsi="Times New Roman" w:cs="Times New Roman"/>
        </w:rPr>
        <w:t xml:space="preserve">. </w:t>
      </w:r>
    </w:p>
    <w:p w:rsidR="007F27C1" w:rsidRPr="00F806F4" w:rsidRDefault="007F27C1" w:rsidP="004E5361">
      <w:pPr>
        <w:pStyle w:val="Bezproreda"/>
        <w:jc w:val="both"/>
        <w:rPr>
          <w:rFonts w:ascii="Times New Roman" w:hAnsi="Times New Roman" w:cs="Times New Roman"/>
        </w:rPr>
      </w:pPr>
    </w:p>
    <w:p w:rsidR="00883A19" w:rsidRPr="00F806F4" w:rsidRDefault="00883A19" w:rsidP="004E5361">
      <w:pPr>
        <w:pStyle w:val="Bezproreda"/>
        <w:jc w:val="both"/>
        <w:rPr>
          <w:rFonts w:ascii="Times New Roman" w:hAnsi="Times New Roman" w:cs="Times New Roman"/>
        </w:rPr>
      </w:pPr>
    </w:p>
    <w:p w:rsidR="00807B8F" w:rsidRPr="00D96B30" w:rsidRDefault="00AF12C2" w:rsidP="004E5361">
      <w:pPr>
        <w:pStyle w:val="Bezproreda"/>
        <w:jc w:val="both"/>
        <w:rPr>
          <w:rFonts w:ascii="Times New Roman" w:hAnsi="Times New Roman" w:cs="Times New Roman"/>
          <w:b/>
        </w:rPr>
      </w:pPr>
      <w:r w:rsidRPr="00D96B30">
        <w:rPr>
          <w:rFonts w:ascii="Times New Roman" w:hAnsi="Times New Roman" w:cs="Times New Roman"/>
          <w:b/>
        </w:rPr>
        <w:t>34 Financijski rashodi</w:t>
      </w:r>
    </w:p>
    <w:p w:rsidR="00D96B30" w:rsidRPr="00F806F4" w:rsidRDefault="00D96B30" w:rsidP="004E5361">
      <w:pPr>
        <w:pStyle w:val="Bezproreda"/>
        <w:jc w:val="both"/>
        <w:rPr>
          <w:rFonts w:ascii="Times New Roman" w:hAnsi="Times New Roman" w:cs="Times New Roman"/>
        </w:rPr>
      </w:pPr>
    </w:p>
    <w:p w:rsidR="00177ABF" w:rsidRPr="00F806F4" w:rsidRDefault="00177ABF" w:rsidP="000C3BA9">
      <w:pPr>
        <w:pStyle w:val="Bezproreda"/>
        <w:jc w:val="both"/>
        <w:rPr>
          <w:rFonts w:ascii="Times New Roman" w:hAnsi="Times New Roman" w:cs="Times New Roman"/>
        </w:rPr>
      </w:pPr>
      <w:r w:rsidRPr="00F806F4">
        <w:rPr>
          <w:rFonts w:ascii="Times New Roman" w:hAnsi="Times New Roman" w:cs="Times New Roman"/>
        </w:rPr>
        <w:t xml:space="preserve">Financijski rashodi iznose </w:t>
      </w:r>
      <w:r w:rsidR="002E50D6">
        <w:rPr>
          <w:rFonts w:ascii="Times New Roman" w:hAnsi="Times New Roman" w:cs="Times New Roman"/>
        </w:rPr>
        <w:t xml:space="preserve">325.076 kn i iznose 91,38% planiranih. U odnosu na prethodnu godinu ovi izdaci su na 52,04% . Razlog smanjenju je redovitije podmirivanje obveza, a s obzirom na uplatu cjelokupnog paušala zbog pandemije, te </w:t>
      </w:r>
      <w:r w:rsidR="002F13D9">
        <w:rPr>
          <w:rFonts w:ascii="Times New Roman" w:hAnsi="Times New Roman" w:cs="Times New Roman"/>
        </w:rPr>
        <w:t>su značajno smanjeni troškovi zateznih kamata.</w:t>
      </w:r>
      <w:r w:rsidR="000C3BA9" w:rsidRPr="00F806F4">
        <w:rPr>
          <w:rFonts w:ascii="Times New Roman" w:hAnsi="Times New Roman" w:cs="Times New Roman"/>
        </w:rPr>
        <w:t xml:space="preserve"> </w:t>
      </w:r>
    </w:p>
    <w:p w:rsidR="000C3BA9" w:rsidRDefault="000C3BA9" w:rsidP="004E5361">
      <w:pPr>
        <w:pStyle w:val="Bezproreda"/>
        <w:jc w:val="both"/>
        <w:rPr>
          <w:highlight w:val="lightGray"/>
        </w:rPr>
      </w:pPr>
    </w:p>
    <w:p w:rsidR="00F565E2" w:rsidRDefault="00F565E2" w:rsidP="004E5361">
      <w:pPr>
        <w:pStyle w:val="Bezproreda"/>
        <w:jc w:val="both"/>
        <w:rPr>
          <w:highlight w:val="lightGray"/>
        </w:rPr>
      </w:pPr>
    </w:p>
    <w:p w:rsidR="00030E68" w:rsidRPr="00D96B30" w:rsidRDefault="00177ABF" w:rsidP="004E5361">
      <w:pPr>
        <w:pStyle w:val="Bezproreda"/>
        <w:jc w:val="both"/>
        <w:rPr>
          <w:rFonts w:ascii="Times New Roman" w:hAnsi="Times New Roman" w:cs="Times New Roman"/>
          <w:b/>
        </w:rPr>
      </w:pPr>
      <w:r w:rsidRPr="00D96B30">
        <w:rPr>
          <w:rFonts w:ascii="Times New Roman" w:hAnsi="Times New Roman" w:cs="Times New Roman"/>
          <w:b/>
        </w:rPr>
        <w:t>4 Rashodi za nabavu nefinancijske imovine</w:t>
      </w:r>
    </w:p>
    <w:p w:rsidR="00D96B30" w:rsidRPr="00D96B30" w:rsidRDefault="00D96B30" w:rsidP="004E5361">
      <w:pPr>
        <w:pStyle w:val="Bezproreda"/>
        <w:jc w:val="both"/>
        <w:rPr>
          <w:rFonts w:ascii="Times New Roman" w:hAnsi="Times New Roman" w:cs="Times New Roman"/>
        </w:rPr>
      </w:pPr>
    </w:p>
    <w:p w:rsidR="00030E68" w:rsidRPr="00D96B30" w:rsidRDefault="00D934F0" w:rsidP="00A97BF3">
      <w:pPr>
        <w:jc w:val="both"/>
        <w:rPr>
          <w:rFonts w:ascii="Times New Roman" w:hAnsi="Times New Roman" w:cs="Times New Roman"/>
        </w:rPr>
      </w:pPr>
      <w:r w:rsidRPr="00D934F0">
        <w:rPr>
          <w:rFonts w:ascii="Times New Roman" w:hAnsi="Times New Roman" w:cs="Times New Roman"/>
        </w:rPr>
        <w:t>U</w:t>
      </w:r>
      <w:r w:rsidR="00030E68" w:rsidRPr="00D934F0">
        <w:rPr>
          <w:rFonts w:ascii="Times New Roman" w:hAnsi="Times New Roman" w:cs="Times New Roman"/>
        </w:rPr>
        <w:t xml:space="preserve"> 20</w:t>
      </w:r>
      <w:r w:rsidR="00A97BF3" w:rsidRPr="00D934F0">
        <w:rPr>
          <w:rFonts w:ascii="Times New Roman" w:hAnsi="Times New Roman" w:cs="Times New Roman"/>
        </w:rPr>
        <w:t>2</w:t>
      </w:r>
      <w:r w:rsidRPr="00D934F0">
        <w:rPr>
          <w:rFonts w:ascii="Times New Roman" w:hAnsi="Times New Roman" w:cs="Times New Roman"/>
        </w:rPr>
        <w:t>2</w:t>
      </w:r>
      <w:r w:rsidR="00030E68" w:rsidRPr="00D934F0">
        <w:rPr>
          <w:rFonts w:ascii="Times New Roman" w:hAnsi="Times New Roman" w:cs="Times New Roman"/>
        </w:rPr>
        <w:t xml:space="preserve">. godini ukupni rashodi za nabavu nefinancijske imovine iznose </w:t>
      </w:r>
      <w:r w:rsidR="00D96B30" w:rsidRPr="00D934F0">
        <w:rPr>
          <w:rFonts w:ascii="Times New Roman" w:hAnsi="Times New Roman" w:cs="Times New Roman"/>
        </w:rPr>
        <w:t>1.</w:t>
      </w:r>
      <w:r w:rsidRPr="00D934F0">
        <w:rPr>
          <w:rFonts w:ascii="Times New Roman" w:hAnsi="Times New Roman" w:cs="Times New Roman"/>
        </w:rPr>
        <w:t>485.254</w:t>
      </w:r>
      <w:r w:rsidR="00D96B30" w:rsidRPr="00D934F0">
        <w:rPr>
          <w:rFonts w:ascii="Times New Roman" w:hAnsi="Times New Roman" w:cs="Times New Roman"/>
        </w:rPr>
        <w:t xml:space="preserve"> kuna –</w:t>
      </w:r>
      <w:r w:rsidR="00030E68" w:rsidRPr="00D934F0">
        <w:rPr>
          <w:rFonts w:ascii="Times New Roman" w:hAnsi="Times New Roman" w:cs="Times New Roman"/>
        </w:rPr>
        <w:t xml:space="preserve"> </w:t>
      </w:r>
      <w:r w:rsidR="00D96B30" w:rsidRPr="00D934F0">
        <w:rPr>
          <w:rFonts w:ascii="Times New Roman" w:hAnsi="Times New Roman" w:cs="Times New Roman"/>
        </w:rPr>
        <w:t>96,</w:t>
      </w:r>
      <w:r w:rsidRPr="00D934F0">
        <w:rPr>
          <w:rFonts w:ascii="Times New Roman" w:hAnsi="Times New Roman" w:cs="Times New Roman"/>
        </w:rPr>
        <w:t>1</w:t>
      </w:r>
      <w:r w:rsidR="00D96B30" w:rsidRPr="00D934F0">
        <w:rPr>
          <w:rFonts w:ascii="Times New Roman" w:hAnsi="Times New Roman" w:cs="Times New Roman"/>
        </w:rPr>
        <w:t xml:space="preserve">0 </w:t>
      </w:r>
      <w:r w:rsidR="00030E68" w:rsidRPr="00D934F0">
        <w:rPr>
          <w:rFonts w:ascii="Times New Roman" w:hAnsi="Times New Roman" w:cs="Times New Roman"/>
        </w:rPr>
        <w:t xml:space="preserve">% u odnosu na planiranih </w:t>
      </w:r>
      <w:r w:rsidR="00D96B30" w:rsidRPr="00D934F0">
        <w:rPr>
          <w:rFonts w:ascii="Times New Roman" w:hAnsi="Times New Roman" w:cs="Times New Roman"/>
        </w:rPr>
        <w:t>1.</w:t>
      </w:r>
      <w:r w:rsidRPr="00D934F0">
        <w:rPr>
          <w:rFonts w:ascii="Times New Roman" w:hAnsi="Times New Roman" w:cs="Times New Roman"/>
        </w:rPr>
        <w:t>545</w:t>
      </w:r>
      <w:r w:rsidR="00D96B30" w:rsidRPr="00D934F0">
        <w:rPr>
          <w:rFonts w:ascii="Times New Roman" w:hAnsi="Times New Roman" w:cs="Times New Roman"/>
        </w:rPr>
        <w:t>.</w:t>
      </w:r>
      <w:r w:rsidRPr="00D934F0">
        <w:rPr>
          <w:rFonts w:ascii="Times New Roman" w:hAnsi="Times New Roman" w:cs="Times New Roman"/>
        </w:rPr>
        <w:t>50</w:t>
      </w:r>
      <w:r w:rsidR="00D96B30" w:rsidRPr="00D934F0">
        <w:rPr>
          <w:rFonts w:ascii="Times New Roman" w:hAnsi="Times New Roman" w:cs="Times New Roman"/>
        </w:rPr>
        <w:t>0</w:t>
      </w:r>
      <w:r w:rsidR="00030E68" w:rsidRPr="00D934F0">
        <w:rPr>
          <w:rFonts w:ascii="Times New Roman" w:hAnsi="Times New Roman" w:cs="Times New Roman"/>
        </w:rPr>
        <w:t xml:space="preserve"> kuna. </w:t>
      </w:r>
      <w:r w:rsidRPr="00D934F0">
        <w:rPr>
          <w:rFonts w:ascii="Times New Roman" w:hAnsi="Times New Roman" w:cs="Times New Roman"/>
        </w:rPr>
        <w:t>Iz decentraliziranih sredstava nabavljena je uredska oprema i namještaj za Odjel socijalne psihijatrije u vrijednosti 200.000 kn, nabavljen je novi vrelouljni kotao za potrebe kuhinje i praonice u vrijednosti 556.750 kn i nabavljena je medicinska oprema za Odjel palijativne skrbi u vrijednosti 72.245 kn</w:t>
      </w:r>
      <w:r w:rsidR="00D96B30" w:rsidRPr="00D934F0">
        <w:rPr>
          <w:rFonts w:ascii="Times New Roman" w:hAnsi="Times New Roman" w:cs="Times New Roman"/>
        </w:rPr>
        <w:t>.</w:t>
      </w:r>
      <w:r w:rsidRPr="00D934F0">
        <w:rPr>
          <w:rFonts w:ascii="Times New Roman" w:hAnsi="Times New Roman" w:cs="Times New Roman"/>
        </w:rPr>
        <w:t xml:space="preserve"> Ukupna vrijednost dobavljene medicinske opreme iznosi 317.636. Iz donacije je krajem godine dobiveno sanitetsko</w:t>
      </w:r>
      <w:r>
        <w:rPr>
          <w:rFonts w:ascii="Times New Roman" w:hAnsi="Times New Roman" w:cs="Times New Roman"/>
        </w:rPr>
        <w:t xml:space="preserve"> vozilo vrijednosti 10.000 kn.</w:t>
      </w:r>
    </w:p>
    <w:p w:rsidR="00D96B30" w:rsidRDefault="00176460" w:rsidP="00A97BF3">
      <w:pPr>
        <w:jc w:val="both"/>
      </w:pPr>
      <w:r w:rsidRPr="00176460">
        <w:rPr>
          <w:noProof/>
          <w:lang w:eastAsia="hr-HR"/>
        </w:rPr>
        <w:lastRenderedPageBreak/>
        <w:drawing>
          <wp:inline distT="0" distB="0" distL="0" distR="0" wp14:anchorId="0D87EB46" wp14:editId="3259918E">
            <wp:extent cx="6120765" cy="4619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1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60" w:rsidRDefault="00176460" w:rsidP="00A97BF3">
      <w:pPr>
        <w:jc w:val="both"/>
      </w:pPr>
    </w:p>
    <w:p w:rsidR="00176460" w:rsidRDefault="00176460" w:rsidP="00A97BF3">
      <w:pPr>
        <w:jc w:val="both"/>
      </w:pPr>
    </w:p>
    <w:p w:rsidR="00176460" w:rsidRDefault="00F07BA1" w:rsidP="00A97BF3">
      <w:pPr>
        <w:jc w:val="both"/>
      </w:pPr>
      <w:r>
        <w:t>007-01/23-01/2-5</w:t>
      </w:r>
    </w:p>
    <w:p w:rsidR="00176460" w:rsidRDefault="00F07BA1" w:rsidP="00A97BF3">
      <w:pPr>
        <w:jc w:val="both"/>
      </w:pPr>
      <w:r>
        <w:t>Ugljan, 28.2.2023.</w:t>
      </w:r>
      <w:bookmarkStart w:id="6" w:name="_GoBack"/>
      <w:bookmarkEnd w:id="6"/>
    </w:p>
    <w:p w:rsidR="00176460" w:rsidRDefault="00176460" w:rsidP="00A97BF3">
      <w:pPr>
        <w:jc w:val="both"/>
      </w:pPr>
    </w:p>
    <w:p w:rsidR="00D96B30" w:rsidRDefault="00D96B30" w:rsidP="004E5361">
      <w:pPr>
        <w:jc w:val="both"/>
        <w:rPr>
          <w:i/>
        </w:rPr>
      </w:pPr>
    </w:p>
    <w:p w:rsidR="00D6129E" w:rsidRDefault="00D6129E" w:rsidP="00D6129E"/>
    <w:p w:rsidR="00177ABF" w:rsidRPr="00542918" w:rsidRDefault="00324A51" w:rsidP="00324A51">
      <w:pPr>
        <w:tabs>
          <w:tab w:val="left" w:pos="7965"/>
        </w:tabs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</w:t>
      </w:r>
      <w:r w:rsidR="00D6129E" w:rsidRPr="00542918">
        <w:rPr>
          <w:rFonts w:ascii="Times New Roman" w:hAnsi="Times New Roman" w:cs="Times New Roman"/>
        </w:rPr>
        <w:t>Ravnatelj</w:t>
      </w:r>
    </w:p>
    <w:p w:rsidR="00D6129E" w:rsidRPr="00542918" w:rsidRDefault="00542918" w:rsidP="00324A51">
      <w:pPr>
        <w:tabs>
          <w:tab w:val="left" w:pos="7965"/>
        </w:tabs>
        <w:jc w:val="center"/>
        <w:rPr>
          <w:rFonts w:ascii="Times New Roman" w:hAnsi="Times New Roman" w:cs="Times New Roman"/>
        </w:rPr>
      </w:pPr>
      <w:r w:rsidRPr="00542918">
        <w:rPr>
          <w:rFonts w:ascii="Times New Roman" w:hAnsi="Times New Roman" w:cs="Times New Roman"/>
        </w:rPr>
        <w:t xml:space="preserve">                                                                                              doc. dr. sc. Mladen Mavar</w:t>
      </w:r>
    </w:p>
    <w:sectPr w:rsidR="00D6129E" w:rsidRPr="00542918" w:rsidSect="003D2807">
      <w:footerReference w:type="default" r:id="rId10"/>
      <w:pgSz w:w="11906" w:h="16838"/>
      <w:pgMar w:top="709" w:right="849" w:bottom="426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E1" w:rsidRDefault="00497FE1" w:rsidP="004918F3">
      <w:pPr>
        <w:spacing w:after="0" w:line="240" w:lineRule="auto"/>
      </w:pPr>
      <w:r>
        <w:separator/>
      </w:r>
    </w:p>
  </w:endnote>
  <w:endnote w:type="continuationSeparator" w:id="0">
    <w:p w:rsidR="00497FE1" w:rsidRDefault="00497FE1" w:rsidP="0049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292293"/>
      <w:docPartObj>
        <w:docPartGallery w:val="Page Numbers (Bottom of Page)"/>
        <w:docPartUnique/>
      </w:docPartObj>
    </w:sdtPr>
    <w:sdtEndPr/>
    <w:sdtContent>
      <w:p w:rsidR="00737A20" w:rsidRDefault="00737A2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BA1">
          <w:rPr>
            <w:noProof/>
          </w:rPr>
          <w:t>11</w:t>
        </w:r>
        <w:r>
          <w:fldChar w:fldCharType="end"/>
        </w:r>
      </w:p>
    </w:sdtContent>
  </w:sdt>
  <w:p w:rsidR="00737A20" w:rsidRDefault="00737A2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E1" w:rsidRDefault="00497FE1" w:rsidP="004918F3">
      <w:pPr>
        <w:spacing w:after="0" w:line="240" w:lineRule="auto"/>
      </w:pPr>
      <w:r>
        <w:separator/>
      </w:r>
    </w:p>
  </w:footnote>
  <w:footnote w:type="continuationSeparator" w:id="0">
    <w:p w:rsidR="00497FE1" w:rsidRDefault="00497FE1" w:rsidP="00491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F9F"/>
    <w:multiLevelType w:val="hybridMultilevel"/>
    <w:tmpl w:val="8ABE45B0"/>
    <w:lvl w:ilvl="0" w:tplc="9A8C6B22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C080A"/>
    <w:multiLevelType w:val="multilevel"/>
    <w:tmpl w:val="41363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5DD1130"/>
    <w:multiLevelType w:val="hybridMultilevel"/>
    <w:tmpl w:val="F1B668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70C"/>
    <w:multiLevelType w:val="multilevel"/>
    <w:tmpl w:val="00F2C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B275AB4"/>
    <w:multiLevelType w:val="hybridMultilevel"/>
    <w:tmpl w:val="4FEA49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43103"/>
    <w:multiLevelType w:val="hybridMultilevel"/>
    <w:tmpl w:val="664CE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F22BD"/>
    <w:multiLevelType w:val="hybridMultilevel"/>
    <w:tmpl w:val="5B20648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2"/>
    </w:lvlOverride>
  </w:num>
  <w:num w:numId="5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7D"/>
    <w:rsid w:val="00030E68"/>
    <w:rsid w:val="0003107F"/>
    <w:rsid w:val="0003166B"/>
    <w:rsid w:val="00053D7F"/>
    <w:rsid w:val="0005696E"/>
    <w:rsid w:val="0006482B"/>
    <w:rsid w:val="00066B7B"/>
    <w:rsid w:val="000722C1"/>
    <w:rsid w:val="000C3BA9"/>
    <w:rsid w:val="000C4205"/>
    <w:rsid w:val="000C61E8"/>
    <w:rsid w:val="000C62F0"/>
    <w:rsid w:val="000E4A02"/>
    <w:rsid w:val="000F4896"/>
    <w:rsid w:val="00103527"/>
    <w:rsid w:val="0010489C"/>
    <w:rsid w:val="00111069"/>
    <w:rsid w:val="00121AAF"/>
    <w:rsid w:val="00147D28"/>
    <w:rsid w:val="00151BDE"/>
    <w:rsid w:val="001523E5"/>
    <w:rsid w:val="00176460"/>
    <w:rsid w:val="00176A5C"/>
    <w:rsid w:val="00177ABF"/>
    <w:rsid w:val="00182C9C"/>
    <w:rsid w:val="001940F8"/>
    <w:rsid w:val="00195EEB"/>
    <w:rsid w:val="001B1C83"/>
    <w:rsid w:val="001D3FF6"/>
    <w:rsid w:val="001D7D20"/>
    <w:rsid w:val="00205A97"/>
    <w:rsid w:val="00207ECE"/>
    <w:rsid w:val="00212939"/>
    <w:rsid w:val="002207C6"/>
    <w:rsid w:val="00250788"/>
    <w:rsid w:val="002563FA"/>
    <w:rsid w:val="00271E10"/>
    <w:rsid w:val="00285D1D"/>
    <w:rsid w:val="002C05B2"/>
    <w:rsid w:val="002C6EB3"/>
    <w:rsid w:val="002D76EE"/>
    <w:rsid w:val="002E50D6"/>
    <w:rsid w:val="002F13D9"/>
    <w:rsid w:val="002F4F8D"/>
    <w:rsid w:val="003049EE"/>
    <w:rsid w:val="00324A51"/>
    <w:rsid w:val="00336BBB"/>
    <w:rsid w:val="003526BC"/>
    <w:rsid w:val="00356778"/>
    <w:rsid w:val="003729AC"/>
    <w:rsid w:val="00383B60"/>
    <w:rsid w:val="00393666"/>
    <w:rsid w:val="003A757E"/>
    <w:rsid w:val="003B5705"/>
    <w:rsid w:val="003D099D"/>
    <w:rsid w:val="003D2807"/>
    <w:rsid w:val="003F1EAB"/>
    <w:rsid w:val="00413C4F"/>
    <w:rsid w:val="00432619"/>
    <w:rsid w:val="00433550"/>
    <w:rsid w:val="00436957"/>
    <w:rsid w:val="0046386C"/>
    <w:rsid w:val="00470263"/>
    <w:rsid w:val="00487E66"/>
    <w:rsid w:val="004918F3"/>
    <w:rsid w:val="00493482"/>
    <w:rsid w:val="0049633C"/>
    <w:rsid w:val="00497FE1"/>
    <w:rsid w:val="004B28F1"/>
    <w:rsid w:val="004B6DA7"/>
    <w:rsid w:val="004D065C"/>
    <w:rsid w:val="004D2FC3"/>
    <w:rsid w:val="004E5361"/>
    <w:rsid w:val="004F24EF"/>
    <w:rsid w:val="00502074"/>
    <w:rsid w:val="00526763"/>
    <w:rsid w:val="00542918"/>
    <w:rsid w:val="0054731A"/>
    <w:rsid w:val="005668DC"/>
    <w:rsid w:val="00577721"/>
    <w:rsid w:val="0058151D"/>
    <w:rsid w:val="0058237E"/>
    <w:rsid w:val="005847C7"/>
    <w:rsid w:val="00586EED"/>
    <w:rsid w:val="0059062F"/>
    <w:rsid w:val="00595FE0"/>
    <w:rsid w:val="005A6EFA"/>
    <w:rsid w:val="005B0FEF"/>
    <w:rsid w:val="005E7363"/>
    <w:rsid w:val="005F32F4"/>
    <w:rsid w:val="00604049"/>
    <w:rsid w:val="00605AF1"/>
    <w:rsid w:val="0060693F"/>
    <w:rsid w:val="006149B3"/>
    <w:rsid w:val="00621F2A"/>
    <w:rsid w:val="0065313B"/>
    <w:rsid w:val="00660AE9"/>
    <w:rsid w:val="006747BA"/>
    <w:rsid w:val="006909C2"/>
    <w:rsid w:val="00696FB5"/>
    <w:rsid w:val="006A466B"/>
    <w:rsid w:val="006C1417"/>
    <w:rsid w:val="007035FA"/>
    <w:rsid w:val="00704890"/>
    <w:rsid w:val="00737A20"/>
    <w:rsid w:val="0074248E"/>
    <w:rsid w:val="00753ADA"/>
    <w:rsid w:val="007774E8"/>
    <w:rsid w:val="007A05BE"/>
    <w:rsid w:val="007B08D7"/>
    <w:rsid w:val="007B64D4"/>
    <w:rsid w:val="007E4130"/>
    <w:rsid w:val="007F27C1"/>
    <w:rsid w:val="00800C3F"/>
    <w:rsid w:val="00807B8F"/>
    <w:rsid w:val="00827EEB"/>
    <w:rsid w:val="0084107B"/>
    <w:rsid w:val="00850C59"/>
    <w:rsid w:val="00851E7D"/>
    <w:rsid w:val="00877B7C"/>
    <w:rsid w:val="00880ECC"/>
    <w:rsid w:val="008830DD"/>
    <w:rsid w:val="00883A19"/>
    <w:rsid w:val="008A5655"/>
    <w:rsid w:val="008C3C7A"/>
    <w:rsid w:val="008C6303"/>
    <w:rsid w:val="008E1D7F"/>
    <w:rsid w:val="008F103F"/>
    <w:rsid w:val="00903E90"/>
    <w:rsid w:val="00937600"/>
    <w:rsid w:val="00952ED2"/>
    <w:rsid w:val="0095423E"/>
    <w:rsid w:val="00954491"/>
    <w:rsid w:val="00961C71"/>
    <w:rsid w:val="00990E1C"/>
    <w:rsid w:val="009B43BA"/>
    <w:rsid w:val="009B69A9"/>
    <w:rsid w:val="009B76E8"/>
    <w:rsid w:val="009C5B48"/>
    <w:rsid w:val="009D0F40"/>
    <w:rsid w:val="009D22A5"/>
    <w:rsid w:val="009E3C11"/>
    <w:rsid w:val="009F2394"/>
    <w:rsid w:val="00A0443D"/>
    <w:rsid w:val="00A04FF1"/>
    <w:rsid w:val="00A22B75"/>
    <w:rsid w:val="00A31D67"/>
    <w:rsid w:val="00A373AB"/>
    <w:rsid w:val="00A639E5"/>
    <w:rsid w:val="00A97BF3"/>
    <w:rsid w:val="00AC7C65"/>
    <w:rsid w:val="00AD124C"/>
    <w:rsid w:val="00AF12C2"/>
    <w:rsid w:val="00B00B00"/>
    <w:rsid w:val="00B40481"/>
    <w:rsid w:val="00B47581"/>
    <w:rsid w:val="00B52E89"/>
    <w:rsid w:val="00B726B6"/>
    <w:rsid w:val="00B81662"/>
    <w:rsid w:val="00B81DC4"/>
    <w:rsid w:val="00B84E78"/>
    <w:rsid w:val="00B971B5"/>
    <w:rsid w:val="00BD4CF8"/>
    <w:rsid w:val="00BE4F58"/>
    <w:rsid w:val="00BF1814"/>
    <w:rsid w:val="00C0617D"/>
    <w:rsid w:val="00C17C1D"/>
    <w:rsid w:val="00C20688"/>
    <w:rsid w:val="00C311CD"/>
    <w:rsid w:val="00C65CBC"/>
    <w:rsid w:val="00D35B0C"/>
    <w:rsid w:val="00D414D7"/>
    <w:rsid w:val="00D4471C"/>
    <w:rsid w:val="00D46E72"/>
    <w:rsid w:val="00D52426"/>
    <w:rsid w:val="00D6129E"/>
    <w:rsid w:val="00D70E6E"/>
    <w:rsid w:val="00D84794"/>
    <w:rsid w:val="00D934F0"/>
    <w:rsid w:val="00D96B30"/>
    <w:rsid w:val="00DA013F"/>
    <w:rsid w:val="00DC2CE9"/>
    <w:rsid w:val="00DC4048"/>
    <w:rsid w:val="00DC53F0"/>
    <w:rsid w:val="00DC65B2"/>
    <w:rsid w:val="00DF17FD"/>
    <w:rsid w:val="00DF2FA0"/>
    <w:rsid w:val="00DF7506"/>
    <w:rsid w:val="00E318EF"/>
    <w:rsid w:val="00E31C0F"/>
    <w:rsid w:val="00E36462"/>
    <w:rsid w:val="00E42FFA"/>
    <w:rsid w:val="00E61FFB"/>
    <w:rsid w:val="00E81713"/>
    <w:rsid w:val="00EB6B73"/>
    <w:rsid w:val="00EC6AA2"/>
    <w:rsid w:val="00ED5AFA"/>
    <w:rsid w:val="00EE3281"/>
    <w:rsid w:val="00EF100D"/>
    <w:rsid w:val="00F01B26"/>
    <w:rsid w:val="00F03E72"/>
    <w:rsid w:val="00F07BA1"/>
    <w:rsid w:val="00F105EA"/>
    <w:rsid w:val="00F11BAE"/>
    <w:rsid w:val="00F32766"/>
    <w:rsid w:val="00F41FE2"/>
    <w:rsid w:val="00F504DD"/>
    <w:rsid w:val="00F565E2"/>
    <w:rsid w:val="00F668A5"/>
    <w:rsid w:val="00F75A87"/>
    <w:rsid w:val="00F75AD6"/>
    <w:rsid w:val="00F806F4"/>
    <w:rsid w:val="00FB555A"/>
    <w:rsid w:val="00FC324E"/>
    <w:rsid w:val="00FC7EC0"/>
    <w:rsid w:val="00FD714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3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22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8F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9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18F3"/>
  </w:style>
  <w:style w:type="paragraph" w:styleId="Podnoje">
    <w:name w:val="footer"/>
    <w:basedOn w:val="Normal"/>
    <w:link w:val="PodnojeChar"/>
    <w:uiPriority w:val="99"/>
    <w:unhideWhenUsed/>
    <w:rsid w:val="0049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18F3"/>
  </w:style>
  <w:style w:type="paragraph" w:styleId="Bezproreda">
    <w:name w:val="No Spacing"/>
    <w:uiPriority w:val="1"/>
    <w:qFormat/>
    <w:rsid w:val="00413C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A466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C3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2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etkatablice">
    <w:name w:val="Table Grid"/>
    <w:basedOn w:val="Obinatablica"/>
    <w:uiPriority w:val="59"/>
    <w:rsid w:val="0047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3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22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8F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9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18F3"/>
  </w:style>
  <w:style w:type="paragraph" w:styleId="Podnoje">
    <w:name w:val="footer"/>
    <w:basedOn w:val="Normal"/>
    <w:link w:val="PodnojeChar"/>
    <w:uiPriority w:val="99"/>
    <w:unhideWhenUsed/>
    <w:rsid w:val="0049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18F3"/>
  </w:style>
  <w:style w:type="paragraph" w:styleId="Bezproreda">
    <w:name w:val="No Spacing"/>
    <w:uiPriority w:val="1"/>
    <w:qFormat/>
    <w:rsid w:val="00413C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A466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C3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2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etkatablice">
    <w:name w:val="Table Grid"/>
    <w:basedOn w:val="Obinatablica"/>
    <w:uiPriority w:val="59"/>
    <w:rsid w:val="0047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6D24-0111-439D-8ACE-2351EB97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3441</Words>
  <Characters>19616</Characters>
  <Application>Microsoft Office Word</Application>
  <DocSecurity>0</DocSecurity>
  <Lines>163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3</cp:revision>
  <cp:lastPrinted>2023-02-22T11:23:00Z</cp:lastPrinted>
  <dcterms:created xsi:type="dcterms:W3CDTF">2023-02-20T11:02:00Z</dcterms:created>
  <dcterms:modified xsi:type="dcterms:W3CDTF">2023-02-22T11:24:00Z</dcterms:modified>
</cp:coreProperties>
</file>